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83CB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«Чебоксарский экономико-технологический колледж»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Министерства образования  и молодежной политики Чувашской Республики</w:t>
      </w:r>
    </w:p>
    <w:p>
      <w:pPr>
        <w:spacing w:lineRule="auto" w:line="240" w:before="12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before="120" w:after="12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="120" w:after="120" w:beforeAutospacing="0" w:afterAutospacing="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widowControl w:val="0"/>
        <w:shd w:val="clear" w:fill="FFFFFF"/>
        <w:suppressAutoHyphens w:val="1"/>
        <w:spacing w:lineRule="auto" w:line="36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МЕТОДИЧЕСКИЕ РЕКОМЕНДАЦИИ ДЛЯ САМОСТОЯТЕЛЬНОЙ РАБОТЫ</w:t>
      </w:r>
    </w:p>
    <w:p>
      <w:pPr>
        <w:suppressAutoHyphens w:val="1"/>
        <w:spacing w:lineRule="auto" w:line="360" w:after="0" w:beforeAutospacing="0" w:afterAutospacing="0"/>
        <w:jc w:val="center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sz w:val="24"/>
        </w:rPr>
        <w:t>МДК 02.01 «ОРГАНИЗАЦИЯ И КОНТРОЛЬ ТЕКУЩЕЙ ДЕЯТЕЛЬНОСТИ СОТРУДНИКОВ СЛУЖБЫ ПИТАНИЯ»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специальность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среднего профессионального образования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43.02.14 Гостиничное дело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Разработчик: 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Иванова Е.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., </w:t>
      </w:r>
    </w:p>
    <w:p>
      <w:pPr>
        <w:spacing w:lineRule="auto" w:line="360" w:after="0" w:beforeAutospacing="0" w:afterAutospac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преподаватель</w:t>
      </w: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before="120" w:after="12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Чебоксары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br w:type="page"/>
      </w:r>
    </w:p>
    <w:p>
      <w:pPr>
        <w:spacing w:lineRule="auto" w:line="360" w:after="0" w:beforeAutospacing="0" w:afterAutospacing="0"/>
        <w:ind w:firstLine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</w:t>
        <w:tab/>
        <w:t>3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ВНЕАУДИТОРНЫХ САМОСТОЯТЕЛЬНЫХ РАБОТ</w:t>
        <w:tab/>
        <w:t>4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№ 1. Составление реферата «Требования к обслуживающему персоналу кухни ресторана отеля». </w:t>
        <w:tab/>
        <w:t>5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№ 2. Составление реферата «Алгоритм работы с гостем по телефону».</w:t>
        <w:tab/>
        <w:t>9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№ 3. Заполнение и обработка заявок и бланков.</w:t>
        <w:tab/>
        <w:t>10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Самостоятельная работа № 4. Составление реферата «Алгоритма обслуживание гостей в службе рум-сервис». </w:t>
        <w:tab/>
        <w:t>11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№ 5. Оформление препроводительной ведомости для сдачи выручки в банк.</w:t>
        <w:tab/>
        <w:t>12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№ 6. Составление презентаций на тему «Мировые лидеры в области питания в гостинично-ресторанном бизнесе».</w:t>
        <w:tab/>
        <w:t>13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№ 7. Составление презентаций «Питание как часть составляющей «Все включено»</w:t>
        <w:tab/>
        <w:t>14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А. Оформление титульного листа</w:t>
        <w:tab/>
        <w:t>16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Б. Обязательные требования к оформлению реферата</w:t>
        <w:tab/>
        <w:t>17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В. Оформление списка литературы</w:t>
        <w:tab/>
        <w:t>18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Г. Требования по созданию презентаций с помощью программы MSOfficePowerPoint</w:t>
        <w:tab/>
        <w:t>19</w:t>
      </w:r>
    </w:p>
    <w:p>
      <w:pPr>
        <w:tabs>
          <w:tab w:val="left" w:pos="8789" w:leader="dot"/>
        </w:tabs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РЕКОМЕНДОВАННОЙ ЛИТЕРАТУРЫ</w:t>
        <w:tab/>
        <w:t>20</w:t>
      </w:r>
    </w:p>
    <w:p>
      <w:pPr>
        <w:spacing w:lineRule="auto" w:line="36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8"/>
        <w:jc w:val="center"/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spacing w:lineRule="auto" w:line="360" w:after="0" w:beforeAutospacing="0" w:afterAutospacing="0"/>
        <w:ind w:firstLine="708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внеаудиторная работа – это процесс индивидуального творчества каждого студента. Она способствует профессиональному саморазвитию личности.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методические рекомендации разработаны для выполнения внеаудиторной самостоятельной работы по ПМ.02 Организация и контроль текущей деятельности сотрудников службы питания для специальности 43.02.14. Гостиничное дело.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Профессиональный модуль является частью рабочей основной профессиональной образовательной программы в соответствии с ФГОС по специальности 43.02.14. Гостиничное дело, введенной в дополнение к предусмотренным ФГОС дисциплинам по согласованию с работодателем за счет часов вариативной части.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Цель методических рекомедаций – оказать помощь в выполнении самостоятельной работы студентами и  овладеть общеинтеллектуальными навыками: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причинно – следственные связи;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логические выводы;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аргументировать свое решение;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самостоятельный информационный поиск;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работать с  нормативно – правовой, учебной и справочной литературой;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Выполнение самостоятельной работы студентами проводится с целью: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углубления и систематизации знаний по дисциплине;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творческой инициативы, познавательных способностей;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самостоятельности, ответственности и организованности;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умений использовать учебную, дополнительную, справочною литературу.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Знания и умения, приобретенные при выполнении самостоятельной внеаудиторной работы, необходимы для формирования  профессиональных навыков.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самостоятельной работы студентов осуществляется в соответствии с календарно – тематическим планом.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ВНЕАУДИТОРНЫХ САМОСТОЯТЕЛЬНЫХ РАБОТ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</w:p>
    <w:tbl>
      <w:tblPr>
        <w:tblW w:w="9747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1E0"/>
      </w:tblPr>
      <w:tblGrid/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темы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реферата «Требования к обслуживающему персоналу кухни ресторана отеля». 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реферата «Алгоритм работы с гостем по телефону».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Заполнение и обработка заявок и бланков.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реферата «Алгоритма обслуживание гостей в службе рум-сервис».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препроводительной ведомости для сдачи выручки в банк.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презентаций на тему «Мировые лидеры в области питания в гостинично-ресторанном бизнесе».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47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презентаций «Питание как часть составляющей «Все включено». 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w="949" w:type="dxa"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247" w:type="dxa"/>
          </w:tcPr>
          <w:p>
            <w:pPr>
              <w:tabs>
                <w:tab w:val="left" w:pos="400" w:leader="none"/>
              </w:tabs>
              <w:spacing w:lineRule="auto" w:line="240" w:after="0" w:beforeAutospacing="0" w:afterAutospacing="0"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</w:t>
            </w:r>
          </w:p>
        </w:tc>
        <w:tc>
          <w:tcPr>
            <w:tcW w:w="2551" w:type="dxa"/>
          </w:tcPr>
          <w:p>
            <w:pPr>
              <w:spacing w:lineRule="auto" w:line="240" w:after="0" w:beforeAutospacing="0" w:afterAutospacing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22</w:t>
            </w:r>
          </w:p>
        </w:tc>
      </w:tr>
    </w:tbl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Самостоятельная работа № 1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Тема: </w:t>
      </w:r>
      <w:r>
        <w:rPr>
          <w:rFonts w:ascii="Times New Roman" w:hAnsi="Times New Roman"/>
          <w:sz w:val="24"/>
        </w:rPr>
        <w:t xml:space="preserve">Составление реферата «Требования к обслуживающему персоналу кухни ресторана отеля». 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оформлению докладов, рефератов (приложения А, Б, В);</w:t>
      </w:r>
    </w:p>
    <w:p>
      <w:pPr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ГОСТ  30524-2013.  Услуги общественного питания. Требования к персоналу.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numPr>
          <w:ilvl w:val="0"/>
          <w:numId w:val="5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Кучер Л.С, Шкуратова Л.М. Организация обслуживания на предприятиях общественного питания. – М.: Деловая литература, 2013.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numPr>
          <w:ilvl w:val="0"/>
          <w:numId w:val="6"/>
        </w:numPr>
        <w:tabs>
          <w:tab w:val="left" w:pos="720" w:leader="none"/>
          <w:tab w:val="clear" w:pos="1684" w:leader="none"/>
        </w:tabs>
        <w:spacing w:lineRule="auto" w:line="240" w:after="0" w:beforeAutospacing="0" w:afterAutospacing="0"/>
        <w:ind w:firstLine="0"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Ознакомьтесь с  методическими указаниями  к написанию рефератов: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— письменная работа объемом 10-18 печатных страниц, выполняемая студентом в течение длительного срока (от одной недели до месяца).</w:t>
        <w:br w:type="textWrapping"/>
      </w:r>
      <w:r>
        <w:rPr>
          <w:rStyle w:val="C3"/>
          <w:rFonts w:ascii="Times New Roman" w:hAnsi="Times New Roman"/>
          <w:color w:val="000000"/>
          <w:sz w:val="24"/>
        </w:rPr>
        <w:t>Функции реферата: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Информативная (ознакомительная); поисковая; справочная; сигнальная; индикативная; адресная коммуникативная.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Степень выполнения этих функций зависит от содержательных и формальных качеств реферата, а также от того, кто и для каких целей их использует.</w:t>
        <w:br w:type="textWrapping"/>
        <w:t>Требования к языку реферата: он должен отличаться точностью, краткостью, ясностью и простотой.</w:t>
      </w:r>
    </w:p>
    <w:p>
      <w:pPr>
        <w:spacing w:lineRule="auto" w:line="240" w:after="0" w:beforeAutospacing="0" w:afterAutospacing="0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Структура реферата: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Титульный лист (заполняется по единой форме, см. приложение А)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После оглавления следует введение. Объем введения составляет 1,5-2 страницы.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может включать графики, таблицы, расчеты. </w:t>
      </w:r>
    </w:p>
    <w:p>
      <w:pPr>
        <w:numPr>
          <w:ilvl w:val="0"/>
          <w:numId w:val="7"/>
        </w:numPr>
        <w:tabs>
          <w:tab w:val="left" w:pos="360" w:leader="none"/>
          <w:tab w:val="clear" w:pos="720" w:leader="none"/>
        </w:tabs>
        <w:spacing w:lineRule="auto" w:line="240" w:after="0" w:beforeAutospacing="0" w:afterAutospacing="0"/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(Приложение В). 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Этапы работы над рефератом.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Работу над рефератом можно условно подразделить на три этапа: 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Подготовительный этап, включающий изучение предмета исследования.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Изложение результатов изучения в виде связного текста.</w:t>
      </w:r>
    </w:p>
    <w:p>
      <w:pPr>
        <w:numPr>
          <w:ilvl w:val="0"/>
          <w:numId w:val="8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Устное сообщение по теме реферата. 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Подготовительный этап работы. Формулировка темы: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Поиск источников.</w:t>
      </w:r>
      <w:r>
        <w:rPr>
          <w:rFonts w:ascii="Times New Roman" w:hAnsi="Times New Roman"/>
          <w:color w:val="000000"/>
          <w:sz w:val="24"/>
        </w:rPr>
        <w:t xml:space="preserve"> 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Работа с источниками.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  <w:br w:type="textWrapping"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  <w:br w:type="textWrapping"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  <w:br w:type="textWrapping"/>
        <w:t>Понятно, что умение таким образом работать с текстом приходит далеко не сразу.</w:t>
        <w:br w:type="textWrapping"/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Создание конспектов для написания реферата: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 завершении предварительного этапа можно переходить непосредственно к созданию текста реферата.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Создание текста: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Общие требования к тексту.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План реферата</w:t>
      </w:r>
      <w:r>
        <w:rPr>
          <w:rFonts w:ascii="Times New Roman" w:hAnsi="Times New Roman"/>
          <w:color w:val="000000"/>
          <w:sz w:val="24"/>
        </w:rPr>
        <w:t>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Требования к введению: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Введение - начальная часть текста. Оно имеет своей целью сориентировать читателя в дальнейшем изложении.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  <w:br w:type="textWrapping"/>
        <w:t>Объем введения - в среднем около 10% от общего объема реферата.</w:t>
        <w:br w:type="textWrapping"/>
        <w:t>Основная часть реферата.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  <w:br w:type="textWrapping"/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Заключение:</w:t>
        <w:br w:type="textWrapping"/>
      </w:r>
      <w:r>
        <w:rPr>
          <w:rFonts w:ascii="Times New Roman" w:hAnsi="Times New Roman"/>
          <w:color w:val="000000"/>
          <w:sz w:val="24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  <w:br w:type="textWrapping"/>
        <w:t>Список использованной литературы.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>
      <w:pPr>
        <w:spacing w:lineRule="auto" w:line="240" w:after="0" w:beforeAutospacing="0" w:afterAutospacing="0"/>
        <w:ind w:firstLine="709"/>
        <w:jc w:val="center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Требования, предъявляемые к оформлению реферата: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Объемы рефератов колеблются от 10-18 машинописных страниц. Работа выполняется на одной стороне листа стандартного формата. По обеим сторонам листа оставляются поля размером 35 мм. слева и 15 мм. справа, рекомендуется шрифт 12-14, интервал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(Подробнее об этом смотрите в Приложении Б).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написании и оформлении реферата следует избегать типичных ошибок, например, таких: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 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некоторых случаях проблемы, рассматриваемые в разделах, не раскрывают основных аспектов выбранной для реферата темы, </w:t>
      </w:r>
    </w:p>
    <w:p>
      <w:pPr>
        <w:pStyle w:val="P1"/>
        <w:numPr>
          <w:ilvl w:val="0"/>
          <w:numId w:val="9"/>
        </w:num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дословное переписывание книг, статей, заимствования рефератов из интернета и т.д.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разработке основной части текст реферата должен содержать следующее: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характеристика типа и класса предприятия общественного питания, описание его специализации;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услуг предприятия общественного питания;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понятие, виды и особенности мерчандайзинга;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приемы мерчандайзинга в предприятиях общественного питания;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заключение;</w:t>
      </w:r>
    </w:p>
    <w:p>
      <w:pPr>
        <w:pStyle w:val="P1"/>
        <w:numPr>
          <w:ilvl w:val="0"/>
          <w:numId w:val="1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использованных источников.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spacing w:lineRule="auto" w:line="360" w:after="0" w:beforeAutospacing="0" w:afterAutospacing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2. Выбор объекта исследования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  ГОСТ  30524-2013.  Услуги общественного питания. Требования к персоналу  составьте характеристику требований к обслуживающему персоналу.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Выбор метода мерчандайзинга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основании указанных информационных источников и таблицы 1 ознакомьтесь с требованиями к персоналу в предприятиях города.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1 – Требования к обслуживающему персоналу</w:t>
      </w:r>
    </w:p>
    <w:tbl>
      <w:tblPr>
        <w:tblStyle w:val="T2"/>
        <w:tblW w:w="0" w:type="auto"/>
        <w:tblLook w:val="04A0"/>
      </w:tblPr>
      <w:tblGrid/>
      <w:tr>
        <w:tc>
          <w:tcPr>
            <w:tcW w:w="2943" w:type="dxa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Требование </w:t>
            </w:r>
          </w:p>
        </w:tc>
        <w:tc>
          <w:tcPr>
            <w:tcW w:w="6521" w:type="dxa"/>
          </w:tcPr>
          <w:p>
            <w:pPr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Характеристика</w:t>
            </w: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Форменная одежда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Форменная обувь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Прическа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Косметика 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Парфюмерия 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Украшения 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Санитарно-гигиенические требования</w:t>
            </w: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943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521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Подберите иллюстрации по данной работе, например, фотографии официантов и барменов в форменной одежде. Рисунки должны быть оформлены в соответствии с основными требованиями: ссылка на рисунок должна даваться по тексту, каждый рисунок должен быть пронумерован и иметь название, либо рисунки оформляются в приложении.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noProof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noProof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noProof w:val="1"/>
          <w:sz w:val="24"/>
        </w:rPr>
      </w:pPr>
      <w:r>
        <w:drawing>
          <wp:inline xmlns:wp="http://schemas.openxmlformats.org/drawingml/2006/wordprocessingDrawing">
            <wp:extent cx="5438775" cy="407924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0792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1 – Официант в форменной одежде</w:t>
      </w:r>
    </w:p>
    <w:p>
      <w:pPr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Самостоятельная работа  № 2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Тема:</w:t>
      </w:r>
      <w:r>
        <w:rPr>
          <w:rFonts w:ascii="Times New Roman" w:hAnsi="Times New Roman"/>
          <w:sz w:val="24"/>
        </w:rPr>
        <w:t xml:space="preserve">  Составление реферата «Алгоритм работы с гостем по телефону».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 диалогов «Звонок от гостя».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numPr>
          <w:ilvl w:val="0"/>
          <w:numId w:val="18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Оформите реферат на указанную тему в соответствии с требования указанными в порядке выполнения работ в самостоятельной  работы № 1.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Самостоятельная работа  № 3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Тема:</w:t>
      </w:r>
      <w:r>
        <w:rPr>
          <w:rFonts w:ascii="Times New Roman" w:hAnsi="Times New Roman"/>
          <w:sz w:val="24"/>
        </w:rPr>
        <w:t xml:space="preserve"> Заполнение и обработка заявок и бланков.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образцы заявок и бланков.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numPr>
          <w:ilvl w:val="0"/>
          <w:numId w:val="20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Изучите следующую информацию.</w:t>
      </w:r>
    </w:p>
    <w:p>
      <w:pPr>
        <w:spacing w:lineRule="auto" w:line="240"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Предположим, что организация направляет на участие в семинаре двух своих сотрудников. При этом с помощью факса организация отсылает в гостиницу письмо-заявку форма №10-Г Она может иметь следующий вид: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Торговая фирма ООО «Сегмент»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г. Тула, ул. Маяковского 83/1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Счет №________________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 банке_________________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Тел./Факс.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Директору гостиничного комплекса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«Турист»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госп. ________________________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ЗАЯВКА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Просим забронировать для сотрудников нашей организации Ильина П.М. и Федорова Н.С. два одноместных номера с 10.01.04г. до 15.01.04г., заезд в 15 –00ч.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Цель приезда - командировка.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Оплату гарантируем.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Просим подтвердить бронирование по факсу 345-56-73.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Директор ООО «Сегмент» Мишин Ю.В.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Главный бухгалтер Смирнова Л.С.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08.01.04г.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2. Получив такую заявку, служба бронирования обязана ее зарегистрировать. В том случае если гостиница может предоставить свои услуги по проживанию, то предприятию должно быть направлено подтверждение заявки. Если гостиничное предприятие не может удовлетворить заявку, оно должно прислать отказ.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Гостиница «Турист»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 ответ на Ваш факс от 08.01.04г. подтверждаем бронирование двух одноместных номеров с 10.01.04г. по 15.01.04г. Стоимость проживания в сутки составляет 800 рублей.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В случае изменения Ваших планов просим отменить бронирование до 18.00ч. 09.01.04 г. во избежание выставления счета за простой номера.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Расчетный час в гостинице «Турист» 12 часов дня.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Директор Головин М. П.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Главный бухгалтер Новикова О.С.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08.01.04г.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Обратите внимание!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Каждая заявка на бронирование и аннуляция заказа регистрируются в обязательном порядке. В противном случае, например если аннулированный заказ вовремя не зарегистрирован, то вероятность того, что номер останется непроданным, велика. Если номер останется не проданным, то потенциальный доход от такой услуги потерян.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Заявки на бронирование мест по телеграммам, телефонным звонкам, письмам регистрируются в журнале «И» по форме, содержащей следующие реквизиты: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tbl>
      <w:tblPr>
        <w:tblW w:w="0" w:type="auto"/>
        <w:tblCellSpacing w:w="15" w:type="dxa"/>
        <w:tblInd w:w="150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Ф.И.О.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Место жительства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Вид заявки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заявки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Дата заезда, выезда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Гостиница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мест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Подпись лица, принявшего заявку.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Заявка, полученные от предприятий (организаций), регистрируется в специальном журнале «П» по следующей форме: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tbl>
      <w:tblPr>
        <w:tblW w:w="0" w:type="auto"/>
        <w:tblCellSpacing w:w="15" w:type="dxa"/>
        <w:tblInd w:w="150" w:type="dxa"/>
        <w:tblBorders>
          <w:top w:val="outset" w:sz="6" w:space="0" w:shadow="0" w:frame="0" w:color="auto"/>
          <w:left w:val="outset" w:sz="6" w:space="0" w:shadow="0" w:frame="0" w:color="auto"/>
          <w:bottom w:val="outset" w:sz="6" w:space="0" w:shadow="0" w:frame="0" w:color="auto"/>
          <w:right w:val="outset" w:sz="6" w:space="0" w:shadow="0" w:fram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Регистрационный номер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предприятия (организации)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представления заявки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заезда, выезда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Гостиница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Подпись лица, принявшего заявку.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outset" w:sz="6" w:space="0" w:shadow="0" w:frame="0" w:color="auto"/>
              <w:left w:val="outset" w:sz="6" w:space="0" w:shadow="0" w:frame="0" w:color="auto"/>
              <w:bottom w:val="outset" w:sz="6" w:space="0" w:shadow="0" w:frame="0" w:color="auto"/>
              <w:right w:val="outset" w:sz="6" w:space="0" w:shadow="0" w:frame="0" w:color="auto"/>
            </w:tcBorders>
            <w:vAlign w:val="center"/>
            <w:hideMark/>
          </w:tcPr>
          <w:p>
            <w:pPr>
              <w:spacing w:lineRule="auto" w:line="240" w:after="0" w:beforeAutospacing="0" w:afterAutospacing="0"/>
              <w:ind w:left="150" w:right="15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>
      <w:pPr>
        <w:spacing w:lineRule="auto" w:line="240" w:after="0" w:beforeAutospacing="0" w:afterAutospacing="0"/>
        <w:ind w:left="225" w:right="525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Зарегистрируйте заявку в журнале.</w:t>
      </w:r>
    </w:p>
    <w:p>
      <w:pPr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Самостоятельная работа  № 4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Тема:</w:t>
      </w:r>
      <w:r>
        <w:rPr>
          <w:rFonts w:ascii="Times New Roman" w:hAnsi="Times New Roman"/>
          <w:sz w:val="24"/>
        </w:rPr>
        <w:t xml:space="preserve"> Составление реферата «Алгоритма обслуживание гостей в службе рум-сервис».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медиа презентация «рум-сервис».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numPr>
          <w:ilvl w:val="0"/>
          <w:numId w:val="21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Оформите реферат на указанную тему в соответствии с требования указанными в порядке выполнения работ в самостоятельной  работы № 1.</w:t>
      </w: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Самостоятельная работа  № 5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Тема:</w:t>
      </w:r>
      <w:r>
        <w:rPr>
          <w:rFonts w:ascii="Times New Roman" w:hAnsi="Times New Roman"/>
          <w:sz w:val="24"/>
        </w:rPr>
        <w:t xml:space="preserve"> Оформление препроводительной ведомости для сдачи выручки в банк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раздаточный материал «Выписка счетов».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numPr>
          <w:ilvl w:val="0"/>
          <w:numId w:val="2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1.Изучите образец. </w:t>
      </w:r>
      <w:r>
        <w:drawing>
          <wp:inline xmlns:wp="http://schemas.openxmlformats.org/drawingml/2006/wordprocessingDrawing">
            <wp:extent cx="5667375" cy="307467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46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Оформите ведомость.</w:t>
      </w:r>
    </w:p>
    <w:p>
      <w:pPr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940425" cy="3322955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295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Самостоятельная работа  № 6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Тема: </w:t>
      </w:r>
      <w:r>
        <w:rPr>
          <w:rFonts w:ascii="Times New Roman" w:hAnsi="Times New Roman"/>
          <w:sz w:val="24"/>
        </w:rPr>
        <w:t>Составление презентаций на тему «Мировые лидеры в области питания в гостинично-ресторанном бизнесе».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оформлению медиапрезентации с помощью MS Power Point (приложение Г);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6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Подберите иллюстрации по данной работе, например, фотографии Мировых лидеров в области питания в гостинично-ресторанном бизнесе. Рисунки должны быть оформлены в соответствии с основными требованиями: ссылка на рисунок должна даваться по тексту, каждый рисунок должен быть пронумерован и иметь название, либо рисунки оформляются в приложении. 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Образец: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940425" cy="333883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 2 –Один из получателей звезд Мишлен-Гордон Рамзи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Оформите презентацию в соответствии с требованиями, указанными в приложении Г.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Самостоятельная работа  № 7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Тема: </w:t>
      </w:r>
      <w:r>
        <w:rPr>
          <w:rFonts w:ascii="Times New Roman" w:hAnsi="Times New Roman"/>
          <w:sz w:val="24"/>
        </w:rPr>
        <w:t>Составление презентаций «Питание как часть составляющей «Все включено»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Цели: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структурировать изученный материал;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определять причинно – следственные связи;</w:t>
      </w:r>
    </w:p>
    <w:p>
      <w:pPr>
        <w:pStyle w:val="P1"/>
        <w:numPr>
          <w:ilvl w:val="0"/>
          <w:numId w:val="13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научиться осуществлять поиск и подбор иллюстрированного материала.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Средства оснащения:</w:t>
      </w:r>
    </w:p>
    <w:p>
      <w:pPr>
        <w:pStyle w:val="P1"/>
        <w:numPr>
          <w:ilvl w:val="0"/>
          <w:numId w:val="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оформлению медиапрезентации с помощью MS Power Point (приложение Г);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Перечень рекомендуемых источников: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1.Кучер Л.С, Шкуратова Л.М. Организация обслуживания на предприятиях общественного питания. – М.: Деловая литература, 2012.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36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выполнения работы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27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Подберите иллюстрации по данной работе, например, фотографии «Питание как часть составляющей «Все включено». Рисунки должны быть оформлены в соответствии с основными требованиями: ссылка на рисунок должна даваться по тексту, каждый рисунок должен быть пронумерован и иметь название, либо рисунки оформляются в приложении. </w:t>
      </w:r>
    </w:p>
    <w:p>
      <w:pPr>
        <w:pStyle w:val="P1"/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Образец: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drawing>
          <wp:inline xmlns:wp="http://schemas.openxmlformats.org/drawingml/2006/wordprocessingDrawing">
            <wp:extent cx="5940425" cy="391414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41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Рисунок 3 –</w:t>
      </w:r>
      <w:r>
        <w:rPr>
          <w:rFonts w:ascii="Times New Roman" w:hAnsi="Times New Roman"/>
        </w:rPr>
        <w:t xml:space="preserve"> Обслуживание по методу «ШВЕДСКИЙ СТОЛ»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Оформите презентацию в соответствии с требованиями, указанными в приложении Г.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А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Оформление титульного листа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автономное профессиональное образовательное учреждение Чувашской Республики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«Чебоксарский экономико-технологический колледж»</w:t>
      </w:r>
    </w:p>
    <w:p>
      <w:pPr>
        <w:spacing w:lineRule="auto" w:line="240" w:after="0" w:beforeAutospacing="0" w:afterAutospacing="0"/>
        <w:ind w:left="3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Министерства образования  и молодежной политики Чувашской Республики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Реферат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тему:_______________________________________________________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mc:AlternateContent>
          <mc:Choice Requires="wps">
            <w:rPr>
              <w:rFonts w:ascii="Times New Roman" w:hAnsi="Times New Roman"/>
              <w:noProof w:val="1"/>
              <w:sz w:val="24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3086100</wp:posOffset>
                </wp:positionH>
                <wp:positionV relativeFrom="paragraph">
                  <wp:posOffset>69215</wp:posOffset>
                </wp:positionV>
                <wp:extent cx="2628900" cy="2118360"/>
                <wp:wrapNone/>
                <wp:docPr id="6" name="_x0000_s10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11836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Выполнил(а):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Студент(ка) ____ курса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Специальности: 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Группы: _______________________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Ф.И.О._________________________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Проверил: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Ф.И.О._________________________</w:t>
                            </w:r>
                          </w:p>
                          <w:p>
                            <w:pPr>
                              <w:spacing w:lineRule="auto" w:line="240" w:after="0" w:beforeAutospacing="0" w:afterAutospacing="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Дата:_______Оценка:________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7" path="m,l,21600r21600,l21600,xe"/>
              <v:shape xmlns:o="urn:schemas-microsoft-com:office:office" type="#7" id="_x0000_s1029" style="position:absolute;width:207pt;height:166,8pt;z-index:1;mso-wrap-distance-left:9pt;mso-wrap-distance-top:0pt;mso-wrap-distance-right:9pt;mso-wrap-distance-bottom:0pt;margin-left:243pt;margin-top:5,45pt;mso-position-horizontal:absolute;mso-position-horizontal-relative:text;mso-position-vertical:absolute;mso-position-vertical-relative:text" fillcolor="#FFFFFF" strokecolor="#FFFFFF" strokeweight="0pt" o:allowincell="t">
                <v:textbox style="mso-fit-shape-to-text:f">
                  <w:txbxContent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Выполнил(а):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Студент(ка) ____ курса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Специальности: 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_______________________________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Группы: _______________________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Ф.И.О._________________________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Проверил: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Ф.И.О._________________________</w:t>
                      </w:r>
                    </w:p>
                    <w:p>
                      <w:pPr>
                        <w:spacing w:lineRule="auto" w:line="240" w:after="0" w:beforeAutospacing="0" w:afterAutospacing="0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Дата:_______Оценка:________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Чебоксары 2019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Б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Обязательные требования к оформлению реферата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Перечисленные требования являются обязательными для получения высшей отметки (баллов)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Абзац включает в себя не менее 3-х предложений.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Название каждой главы начинается с новой страницы, объем главы не может быть меньше 5 страниц.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тексте должны отсутствовать сокращения, кроме общепринятых, общепринятые или необходимые сокращения при первоначальном употреблении должны быть расшифрованы.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Каждая цитата, каждый рисунок или график, каждая формула, каждый расчет должны иметь сноску. Если рисунок или расчет являются авторскими, тогда это необходимо отразить в тексте сноски.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Сноска может быть сделана двумя способами: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— традиционный вариант (через «вставка / сноска»)</w:t>
        <w:br w:type="textWrapping"/>
        <w:t xml:space="preserve">— «построчная» способом [5.210], где первая цифра означает порядковый номер источника из списка литература, а вторая - номер страницы.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hanging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Работа предоставляется как в рукописном виде (почерк читаемый, т.е. разборчивый), так и в напечатанном виде через 1.5 интервала. Размер шрифта - 12-14 Вся работа должна быть напечатана в одном виде шрифта, если это не смысловое выделение по тексту. </w:t>
      </w:r>
    </w:p>
    <w:p>
      <w:pPr>
        <w:numPr>
          <w:ilvl w:val="0"/>
          <w:numId w:val="11"/>
        </w:numPr>
        <w:spacing w:lineRule="auto" w:line="240" w:after="0" w:beforeAutospacing="0" w:afterAutospacing="0"/>
        <w:ind w:firstLine="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Сносок должно быть не меньше, чем источников литературы.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 w:val="1"/>
          <w:sz w:val="24"/>
        </w:rPr>
        <w:t>Приложение В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Оформление списка литературы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Список использованной литературы и других источников составляется в следующей последовательности:</w:t>
      </w:r>
    </w:p>
    <w:p>
      <w:pPr>
        <w:numPr>
          <w:ilvl w:val="0"/>
          <w:numId w:val="12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Законы, постановления правительства. </w:t>
      </w:r>
    </w:p>
    <w:p>
      <w:pPr>
        <w:numPr>
          <w:ilvl w:val="0"/>
          <w:numId w:val="12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Нормативные акты, инструктивные материалы, официальные справочники. </w:t>
      </w:r>
    </w:p>
    <w:p>
      <w:pPr>
        <w:numPr>
          <w:ilvl w:val="0"/>
          <w:numId w:val="12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Специальная литература. </w:t>
      </w:r>
    </w:p>
    <w:p>
      <w:pPr>
        <w:numPr>
          <w:ilvl w:val="0"/>
          <w:numId w:val="12"/>
        </w:numPr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Периодические издания. 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составлении списка использованной литературы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год, а также занимаемые страницы (от и до). Литературные источники должны быть расположены в алфавитном порядке по фамилиям авторов, в случае, если количество авторов более трех - по названию книги, остальные материалы в хронологическом порядке. Сначала должны быть указаны источники на русском языке, затем на иностранном.</w:t>
      </w:r>
    </w:p>
    <w:p>
      <w:pPr>
        <w:spacing w:lineRule="auto" w:line="240" w:after="0" w:beforeAutospacing="0" w:afterAutospacing="0"/>
        <w:ind w:firstLine="709"/>
        <w:jc w:val="both"/>
        <w:rPr>
          <w:rStyle w:val="C3"/>
          <w:rFonts w:ascii="Times New Roman" w:hAnsi="Times New Roman"/>
          <w:color w:val="000000"/>
          <w:sz w:val="24"/>
        </w:rPr>
      </w:pPr>
      <w:r>
        <w:rPr>
          <w:rStyle w:val="C3"/>
          <w:rFonts w:ascii="Times New Roman" w:hAnsi="Times New Roman"/>
          <w:color w:val="000000"/>
          <w:sz w:val="24"/>
        </w:rPr>
        <w:t>Пример оформления списка использованной литературы: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Монографии</w:t>
        <w:br w:type="textWrapping"/>
        <w:t>Институциональная инфраструктура пенсионной реформы в России. Авт. коллектив А.З.Астапович, У.Бирминхем, Л.М. Григорьев и др. М., Бюро экономического анализа.1998 - 157с.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Учебники и учебные пособия Нуреев Р.М. Курс микроэкономики. Учебник для вузов. Москва. НОРМА-ИНФРА.М., 1998 - 560с.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Периодические издания Портной М.А. "Сверяя часы" с Европой. Журнал "Бизнес- образование", выпуск 2.1997. С. 30-35.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Источники из Интернет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Statsoft. Ins. (1999). Электронный учебник по статистике. Москва, Statsoft. Web: http//www.statsoft.ru/home/textbook.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Г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Требования по созданию презентаций с помощью программы MSOfficePowerPoint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основного текста не рекомендуется использовать прописные буквы.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 шрифта для основного текста гладкий без засечек, для заголовка можно использовать декоративный шрифт, если он хорошо читаем.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шрифта: 24-54 пункта (заголовок), 18-36 пунктов (обычный текст).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Цветовая гамма должна состоять не более чем из двух – трех цветов.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Белый текст на черном фоне читается плохо.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Цвет шрифта и цвет фона должны контрастировать, но  не резать глаза.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Желательно избегать рисунков не несущих смысловой нагрузки.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графических изображений не должен резко контрастировать с общим стилевым оформлением слайда.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Иллюстрации рекомендуется сопровождать пояснительным текстом.</w:t>
      </w:r>
    </w:p>
    <w:p>
      <w:pPr>
        <w:pStyle w:val="P1"/>
        <w:numPr>
          <w:ilvl w:val="0"/>
          <w:numId w:val="14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 должна содержать титульный слайд с указанием темы сообщения, также можно включить содержание или план и последний слайд со словами «Благодарю за внимание».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>
      <w:pPr>
        <w:pageBreakBefore w:val="1"/>
        <w:suppressAutoHyphens w:val="1"/>
        <w:spacing w:lineRule="auto" w:line="240" w:after="0" w:beforeAutospacing="0" w:afterAutospacing="0"/>
        <w:ind w:firstLine="36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СПИСОК РЕКОМЕНДОВАННОЙ ЛИТЕРАТУРЫ</w:t>
      </w:r>
    </w:p>
    <w:p>
      <w:pPr>
        <w:suppressAutoHyphens w:val="1"/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 Печатные издания</w:t>
      </w:r>
    </w:p>
    <w:p>
      <w:pPr>
        <w:numPr>
          <w:ilvl w:val="0"/>
          <w:numId w:val="2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 РФ от 07.02.1992 № 2300-1 О защите прав потребителей</w:t>
      </w:r>
    </w:p>
    <w:p>
      <w:pPr>
        <w:numPr>
          <w:ilvl w:val="0"/>
          <w:numId w:val="2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Правительства РФ от 15.08.1997 N 1036 (ред. от 04.10.2012)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"Об утверждении Правил оказания услуг общественного питания" </w:t>
      </w:r>
    </w:p>
    <w:p>
      <w:pPr>
        <w:numPr>
          <w:ilvl w:val="0"/>
          <w:numId w:val="2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Главного государственного санитарного врача РФ от 08.11.2001 N 31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(ред. от 10.06.2016) "О введении в действие санитарных правил"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Р 50647-2010. Национальный стандарт российской федерации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Р 50764-2009 Услуги общественного питания. Общие требования;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50762-2009 Общественное питание. Классификация предприятий;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ГОСТ Р 50935-2007 Услуги общественного питания. Требования к персоналу.</w:t>
      </w:r>
    </w:p>
    <w:p>
      <w:pPr>
        <w:numPr>
          <w:ilvl w:val="0"/>
          <w:numId w:val="2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Счесленок Л.Л., Полякова Ю.В., Сынгаевская Л.П. Организация обслуживания в организациях общественного питания. - М.: Издательский центр «Академия», 2016.</w:t>
      </w:r>
    </w:p>
    <w:p>
      <w:pPr>
        <w:numPr>
          <w:ilvl w:val="0"/>
          <w:numId w:val="24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Богданова В.В. Организация и технология обслуживания в барах. - М.: Издательский центр «Академия», 2012.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Ёхина М. А. Организация обслуживания в гостиницах М.: Издательский центр «Академия», 2015.</w:t>
      </w:r>
    </w:p>
    <w:p>
      <w:pPr>
        <w:numPr>
          <w:ilvl w:val="0"/>
          <w:numId w:val="24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Потапова И.И. Организация обслуживания гостей в процессе проживания. - М.: Издательский центр «Академия», 2015.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1"/>
          <w:shd w:val="clear" w:fill="FFFFFF"/>
        </w:rPr>
        <w:t xml:space="preserve">10. </w:t>
      </w:r>
      <w:r>
        <w:rPr>
          <w:rFonts w:ascii="Times New Roman" w:hAnsi="Times New Roman"/>
          <w:sz w:val="24"/>
          <w:shd w:val="clear" w:fill="FFFFFF"/>
        </w:rPr>
        <w:t>Тимохина, Т. Л. Гостиничная индустрия : учебник для СПО / Т. Л. Тимохина. — М. : Издательство Юрайт, 2017. — 336 с. — (Профессиональное образование). — ISBN 978-5-534-04589-5. https://www.biblio-online.ru/viewer/12AC7584-3AAC-48DC-A720-4CA49A6FD829#page/1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hd w:val="clear" w:fill="FFFFFF"/>
        </w:rPr>
        <w:t>11 Тимохина, Т. Л. Гостиничный сервис : учебник для СПО / Т. Л. Тимохина. — М. : Издательство Юрайт, 2017. — 331 с. — (Профессиональное образование). — ISBN 978-5-534-03427-1. https://www.biblio-online.ru/viewer/05FBCB8B-ADDB-4861-869C-83A61B803759#page/1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</w:rPr>
        <w:t xml:space="preserve">12. </w:t>
      </w:r>
      <w:r>
        <w:rPr>
          <w:rFonts w:ascii="Times New Roman" w:hAnsi="Times New Roman"/>
          <w:sz w:val="24"/>
          <w:shd w:val="clear" w:fill="FFFFFF"/>
        </w:rPr>
        <w:t>Сологубова, Г. С. Организация обслуживания на предприятиях общественного питания : учебник для СПО / Г. С. Сологубова. — 2-е изд., испр. и доп. — М. : Издательство Юрайт, 2017. — 379 с. — (Профессиональное образование). — ISBN 978-5-534-01301-6. https://www.biblio-online.ru/viewer/6D14FBD4-0211-4C10-B21D-A62B7F2AD698#page/1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13. Пасько, О. В. Проектирование предприятий общественного питания. Доготовочные цеха и торговые помещения : учебное пособие для СПО / О. В. Пасько, О. В. Автюхова. — 2-е изд., испр. и доп. — М. : Издательство Юрайт, 2017. — 201 с. — (Профессиональное образование). — ISBN 978-5-534-02479-1. https://www.biblio-online.ru/viewer/1F1C9F54-B7F2-4D64-B86E-CE6A3192DEE3#page/1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14. Васильева, И. В. Технология продукции общественного питания : учебник и практикум для СПО / И. В. Васильева, Е. Н. Мясникова, А. С. Безряднова. — 2-е изд., перераб. и доп. — М. : Издательство Юрайт, 2017. — 414 с. — (Профессиональное образование). — ISBN 978-5-534-04897-1. https://www.biblio-online.ru/viewer/9E061508-836A-4A56-92F1-428AB79D2918#page/1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 xml:space="preserve">15. Пасько, О. В. Технология продукции общественного питания. Лабораторный практикум : учебное пособие для СПО / О. В. Пасько, О. В. Автюхова. — 2-е изд., испр. и доп. — М. : Издательство Юрайт, 2017. — 248 с. — (Профессиональное образование). — ISBN 978-5-534-01244-6. 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16. Батраева, Э. А. Экономика предприятия общественного питания : учебник и практикум для СПО / Э. А. Батраева. — 2-е изд., перераб. и доп. — М. : Издательство Юрайт, 2017. — 390 с. — (Профессиональное образование). — ISBN 978-5-534-04578-9. https://www.biblio-online.ru/viewer/3854307A-CC01-4C5E-BB56-00D59CBC3546#page/1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17. Щетинин, М. П. Проектирование предприятий общественного питания. Руководство к выполнению учебных проектов : учебное пособие для СПО / М. П. Щетинин, О. В. Пасько, Н. В. Бураковская. — 2-е изд., испр. и доп. — М. : Издательство Юрайт, 2017. — 287 с. — (Профессиональное образование). — ISBN 978-5-534-04464-5. https://www.biblio-online.ru/viewer/89847F9B-2EAD-4972-B611-E2A761DC6AAC#page/1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  <w:shd w:val="clear" w:fill="FFFFFF"/>
        </w:rPr>
        <w:t>18</w:t>
      </w:r>
      <w:bookmarkStart w:id="0" w:name="_GoBack"/>
      <w:bookmarkEnd w:id="0"/>
      <w:r>
        <w:rPr>
          <w:rFonts w:ascii="Times New Roman" w:hAnsi="Times New Roman"/>
          <w:sz w:val="24"/>
          <w:shd w:val="clear" w:fill="FFFFFF"/>
        </w:rPr>
        <w:t>. Пасько, О. В. Технология продукции общественного питания за рубежом : учебное пособие для СПО / О. В. Пасько, Н. В. Бураковская. — М. : Издательство Юрайт, 2017. — 163 с. — (Профессиональное образование). — ISBN 978-5-534-04253-5. https://www.biblio-online.ru/viewer/4EFBEF2D-2F5D-48E0-9618-FB231CDC7AD4#page/1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Электронные издания (электронные ресурсы)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  <w:tab/>
        <w:t>http://hotel.web-3.ru/intarticles/?act=full&amp;id_article=7830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  <w:tab/>
        <w:t>http://www.catalog.horeca.ru/newspaper/business/249/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  <w:tab/>
        <w:t>http://prohotel.ru/</w:t>
      </w:r>
    </w:p>
    <w:p>
      <w:pPr>
        <w:spacing w:lineRule="auto" w:line="240" w:after="0" w:beforeAutospacing="0" w:afterAutospacing="0"/>
        <w:ind w:firstLine="77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 Дополнительные источники</w:t>
      </w:r>
    </w:p>
    <w:p>
      <w:pPr>
        <w:numPr>
          <w:ilvl w:val="0"/>
          <w:numId w:val="26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"https://www.livelib.ru/author/372859-mironov-sergej" \o "Миронов Сергей"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Миронов Сергей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"https://www.livelib.ru/book/1000605668-gost-platit-dvazhdy-tehniki-povysheniya-prodazh-v-restorane-mironov-sergej" \o "Гость платит дважды. Техники повышения продаж в ресторане"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Гость платит дважды. Техники повышения продаж в ресторане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Издательство: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"https://www.livelib.ru/publisher/7823-restorannye-vedomosti"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«Ресторанные ведомости»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2012.</w:t>
      </w:r>
    </w:p>
    <w:p>
      <w:pPr>
        <w:numPr>
          <w:ilvl w:val="0"/>
          <w:numId w:val="26"/>
        </w:numPr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Победоносцева Елена. Все дело в людях. Ваш ресторан: как из персонала сделать команду.  Издательство: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"https://www.livelib.ru/publisher/7823-restorannye-vedomosti"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«Ресторанные ведомости»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, 2016.</w:t>
      </w:r>
    </w:p>
    <w:p>
      <w:pPr>
        <w:numPr>
          <w:ilvl w:val="0"/>
          <w:numId w:val="26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after="0" w:beforeAutospacing="0" w:afterAutospacing="0"/>
        <w:ind w:firstLine="77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Наталья Богатова. Современный ресторан. Книга успешного управляющего. Партнеры. Персонал. Гости. – Ресторанные ведомости, 2014.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sectPr>
      <w:footerReference xmlns:r="http://schemas.openxmlformats.org/officeDocument/2006/relationships" w:type="default" r:id="RelFtr1"/>
      <w:type w:val="nextPage"/>
      <w:pgSz w:w="11906" w:h="16838" w:code="9"/>
      <w:pgMar w:left="1701" w:right="850" w:top="1134" w:bottom="1134" w:header="708" w:footer="708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</w:rPr>
      <w:t>#</w:t>
    </w:r>
    <w:r>
      <w:fldChar w:fldCharType="end"/>
    </w:r>
  </w:p>
  <w:p>
    <w:pPr>
      <w:pStyle w:val="P6"/>
    </w:pPr>
  </w:p>
</w:ftr>
</file>

<file path=word/numbering.xml><?xml version="1.0" encoding="utf-8"?>
<w:numbering xmlns:w="http://schemas.openxmlformats.org/wordprocessingml/2006/main">
  <w:abstractNum w:abstractNumId="0">
    <w:nsid w:val="010A0D0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06285FF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0749307C"/>
    <w:multiLevelType w:val="hybridMultilevel"/>
    <w:lvl w:ilvl="0" w:tplc="EFECC7E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9E544C9"/>
    <w:multiLevelType w:val="hybridMultilevel"/>
    <w:lvl w:ilvl="0" w:tplc="99A4A750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0AC676FE"/>
    <w:multiLevelType w:val="hybridMultilevel"/>
    <w:lvl w:ilvl="0" w:tplc="EFECC7E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nsid w:val="0D2030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16E62F5F"/>
    <w:multiLevelType w:val="hybridMultilevel"/>
    <w:lvl w:ilvl="0" w:tplc="DA5814B8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231D468A"/>
    <w:multiLevelType w:val="hybridMultilevel"/>
    <w:lvl w:ilvl="0" w:tplc="B87AD3F6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nsid w:val="244071DB"/>
    <w:multiLevelType w:val="hybridMultilevel"/>
    <w:lvl w:ilvl="0" w:tplc="B87AD3F6">
      <w:start w:val="1"/>
      <w:numFmt w:val="bullet"/>
      <w:suff w:val="tab"/>
      <w:lvlText w:val=""/>
      <w:lvlJc w:val="left"/>
      <w:pPr>
        <w:ind w:hanging="360" w:left="644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24AF1416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27563A19"/>
    <w:multiLevelType w:val="multilevel"/>
    <w:lvl w:ilvl="0">
      <w:start w:val="1"/>
      <w:numFmt w:val="decimal"/>
      <w:suff w:val="tab"/>
      <w:lvlText w:val="%1."/>
      <w:lvlJc w:val="left"/>
      <w:pPr>
        <w:ind w:hanging="360" w:left="1350"/>
      </w:pPr>
      <w:rPr/>
    </w:lvl>
    <w:lvl w:ilvl="1">
      <w:start w:val="2"/>
      <w:numFmt w:val="decimal"/>
      <w:isLgl w:val="1"/>
      <w:suff w:val="tab"/>
      <w:lvlText w:val="%1.%2."/>
      <w:lvlJc w:val="left"/>
      <w:pPr>
        <w:ind w:hanging="540" w:left="900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08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720" w:left="108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44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080" w:left="144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440" w:left="180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440" w:left="180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1800" w:left="2160"/>
      </w:pPr>
      <w:rPr/>
    </w:lvl>
  </w:abstractNum>
  <w:abstractNum w:abstractNumId="11">
    <w:nsid w:val="27AF2C6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2">
    <w:nsid w:val="30F4361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3">
    <w:nsid w:val="37E0483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4">
    <w:nsid w:val="3934503B"/>
    <w:multiLevelType w:val="hybridMultilevel"/>
    <w:lvl w:ilvl="0" w:tplc="B87AD3F6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nsid w:val="3F6307F6"/>
    <w:multiLevelType w:val="hybridMultilevel"/>
    <w:lvl w:ilvl="0" w:tplc="EC949AC4">
      <w:start w:val="1"/>
      <w:numFmt w:val="decimal"/>
      <w:suff w:val="tab"/>
      <w:lvlText w:val="%1."/>
      <w:lvlJc w:val="left"/>
      <w:pPr>
        <w:ind w:hanging="975" w:left="1684"/>
        <w:tabs>
          <w:tab w:val="left" w:pos="1684" w:leader="none"/>
        </w:tabs>
      </w:pPr>
      <w:rPr>
        <w:b w:val="1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789"/>
        <w:tabs>
          <w:tab w:val="left" w:pos="1789" w:leader="none"/>
        </w:tabs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509"/>
        <w:tabs>
          <w:tab w:val="left" w:pos="2509" w:leader="none"/>
        </w:tabs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3229"/>
        <w:tabs>
          <w:tab w:val="left" w:pos="3229" w:leader="none"/>
        </w:tabs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949"/>
        <w:tabs>
          <w:tab w:val="left" w:pos="3949" w:leader="none"/>
        </w:tabs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669"/>
        <w:tabs>
          <w:tab w:val="left" w:pos="4669" w:leader="none"/>
        </w:tabs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389"/>
        <w:tabs>
          <w:tab w:val="left" w:pos="5389" w:leader="none"/>
        </w:tabs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6109"/>
        <w:tabs>
          <w:tab w:val="left" w:pos="6109" w:leader="none"/>
        </w:tabs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829"/>
        <w:tabs>
          <w:tab w:val="left" w:pos="6829" w:leader="none"/>
        </w:tabs>
      </w:pPr>
      <w:rPr/>
    </w:lvl>
  </w:abstractNum>
  <w:abstractNum w:abstractNumId="16">
    <w:nsid w:val="53617AAA"/>
    <w:multiLevelType w:val="hybridMultilevel"/>
    <w:lvl w:ilvl="0" w:tplc="B0DC717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7">
    <w:nsid w:val="538A2A11"/>
    <w:multiLevelType w:val="hybridMultilevel"/>
    <w:lvl w:ilvl="0" w:tplc="EFECC7E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nsid w:val="5DA60248"/>
    <w:multiLevelType w:val="hybridMultilevel"/>
    <w:lvl w:ilvl="0" w:tplc="EFECC7E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9">
    <w:nsid w:val="67922A0A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0">
    <w:nsid w:val="683913A5"/>
    <w:multiLevelType w:val="hybridMultilevel"/>
    <w:lvl w:ilvl="0" w:tplc="B0DC717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6A7972E4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644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2">
    <w:nsid w:val="6F810298"/>
    <w:multiLevelType w:val="hybridMultilevel"/>
    <w:lvl w:ilvl="0" w:tplc="B0DC7176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3">
    <w:nsid w:val="6F9F7939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4">
    <w:nsid w:val="754E0189"/>
    <w:multiLevelType w:val="hybridMultilevel"/>
    <w:lvl w:ilvl="0" w:tplc="B87AD3F6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5">
    <w:nsid w:val="7E2E6F6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26">
    <w:nsid w:val="7F680157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8"/>
  </w:num>
  <w:num w:numId="5">
    <w:abstractNumId w:val="3"/>
  </w:num>
  <w:num w:numId="6">
    <w:abstractNumId w:val="15"/>
  </w:num>
  <w:num w:numId="7">
    <w:abstractNumId w:val="11"/>
  </w:num>
  <w:num w:numId="8">
    <w:abstractNumId w:val="5"/>
  </w:num>
  <w:num w:numId="9">
    <w:abstractNumId w:val="24"/>
  </w:num>
  <w:num w:numId="10">
    <w:abstractNumId w:val="7"/>
  </w:num>
  <w:num w:numId="11">
    <w:abstractNumId w:val="25"/>
  </w:num>
  <w:num w:numId="12">
    <w:abstractNumId w:val="13"/>
  </w:num>
  <w:num w:numId="13">
    <w:abstractNumId w:val="14"/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2"/>
  </w:num>
  <w:num w:numId="19">
    <w:abstractNumId w:val="1"/>
  </w:num>
  <w:num w:numId="20">
    <w:abstractNumId w:val="23"/>
  </w:num>
  <w:num w:numId="21">
    <w:abstractNumId w:val="0"/>
  </w:num>
  <w:num w:numId="22">
    <w:abstractNumId w:val="21"/>
  </w:num>
  <w:num w:numId="23">
    <w:abstractNumId w:val="20"/>
  </w:num>
  <w:num w:numId="24">
    <w:abstractNumId w:val="10"/>
  </w:num>
  <w:num w:numId="25">
    <w:abstractNumId w:val="19"/>
  </w:num>
  <w:num w:numId="26">
    <w:abstractNumId w:val="26"/>
  </w:num>
  <w:num w:numId="27">
    <w:abstractNumId w:val="22"/>
  </w:num>
</w:numbering>
</file>

<file path=word/settings.xml><?xml version="1.0" encoding="utf-8"?>
<w:settings xmlns:w="http://schemas.openxmlformats.org/wordprocessingml/2006/main">
  <w:displayBackgroundShape w:val="0"/>
  <w:defaultTabStop w:val="709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paragraph" w:styleId="P2">
    <w:name w:val="Balloon Text"/>
    <w:basedOn w:val="P0"/>
    <w:link w:val="C4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paragraph" w:styleId="P3">
    <w:name w:val="Body Text"/>
    <w:basedOn w:val="P0"/>
    <w:link w:val="C5"/>
    <w:pPr>
      <w:spacing w:lineRule="auto" w:line="240" w:after="0" w:beforeAutospacing="0" w:afterAutospacing="0"/>
      <w:jc w:val="both"/>
    </w:pPr>
    <w:rPr>
      <w:rFonts w:ascii="Times New Roman" w:hAnsi="Times New Roman"/>
      <w:sz w:val="24"/>
    </w:rPr>
  </w:style>
  <w:style w:type="paragraph" w:styleId="P4">
    <w:name w:val="Body Text Indent 2"/>
    <w:basedOn w:val="P0"/>
    <w:link w:val="C6"/>
    <w:pPr>
      <w:spacing w:lineRule="auto" w:line="480" w:after="120" w:beforeAutospacing="0" w:afterAutospacing="0"/>
      <w:ind w:left="283"/>
    </w:pPr>
    <w:rPr>
      <w:rFonts w:ascii="Calibri" w:hAnsi="Calibri"/>
    </w:rPr>
  </w:style>
  <w:style w:type="paragraph" w:styleId="P5">
    <w:name w:val="header"/>
    <w:basedOn w:val="P0"/>
    <w:link w:val="C8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6">
    <w:name w:val="footer"/>
    <w:basedOn w:val="P0"/>
    <w:link w:val="C9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character" w:styleId="C4">
    <w:name w:val="Текст выноски Знак"/>
    <w:basedOn w:val="C0"/>
    <w:link w:val="P2"/>
    <w:semiHidden/>
    <w:rPr>
      <w:rFonts w:ascii="Tahoma" w:hAnsi="Tahoma"/>
      <w:sz w:val="16"/>
    </w:rPr>
  </w:style>
  <w:style w:type="character" w:styleId="C5">
    <w:name w:val="Основной текст Знак"/>
    <w:basedOn w:val="C0"/>
    <w:link w:val="P3"/>
    <w:rPr>
      <w:rFonts w:ascii="Times New Roman" w:hAnsi="Times New Roman"/>
      <w:sz w:val="24"/>
    </w:rPr>
  </w:style>
  <w:style w:type="character" w:styleId="C6">
    <w:name w:val="Основной текст с отступом 2 Знак"/>
    <w:basedOn w:val="C0"/>
    <w:link w:val="P4"/>
    <w:rPr>
      <w:rFonts w:ascii="Calibri" w:hAnsi="Calibri"/>
    </w:rPr>
  </w:style>
  <w:style w:type="character" w:styleId="C7">
    <w:name w:val="Placeholder Text"/>
    <w:basedOn w:val="C0"/>
    <w:semiHidden/>
    <w:rPr>
      <w:color w:val="808080"/>
    </w:rPr>
  </w:style>
  <w:style w:type="character" w:styleId="C8">
    <w:name w:val="Верхний колонтитул Знак"/>
    <w:basedOn w:val="C0"/>
    <w:link w:val="P5"/>
    <w:rPr/>
  </w:style>
  <w:style w:type="character" w:styleId="C9">
    <w:name w:val="Нижний колонтитул Знак"/>
    <w:basedOn w:val="C0"/>
    <w:link w:val="P6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3" Type="http://schemas.openxmlformats.org/officeDocument/2006/relationships/image" Target="/media/image3.png" /><Relationship Id="Relimage1" Type="http://schemas.openxmlformats.org/officeDocument/2006/relationships/image" Target="/media/image1.jpg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