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D679CA" w:rsidRPr="00D679CA" w:rsidRDefault="00D679CA" w:rsidP="00D679CA">
      <w:pPr>
        <w:spacing w:after="0" w:line="360" w:lineRule="auto"/>
        <w:jc w:val="center"/>
        <w:rPr>
          <w:rFonts w:ascii="Times New Roman" w:eastAsia="Times New Roman" w:hAnsi="Times New Roman"/>
          <w:b/>
          <w:sz w:val="24"/>
          <w:szCs w:val="24"/>
          <w:lang w:eastAsia="ru-RU"/>
        </w:rPr>
      </w:pPr>
      <w:r w:rsidRPr="00D679CA">
        <w:rPr>
          <w:rFonts w:ascii="Times New Roman" w:eastAsia="Times New Roman" w:hAnsi="Times New Roman"/>
          <w:b/>
          <w:sz w:val="24"/>
          <w:szCs w:val="24"/>
          <w:lang w:eastAsia="ru-RU"/>
        </w:rPr>
        <w:t>46.02.01 Документационное обеспечение управления и архивоведение</w:t>
      </w:r>
    </w:p>
    <w:p w:rsidR="00224793" w:rsidRDefault="00224793" w:rsidP="002D7C2F">
      <w:pPr>
        <w:spacing w:line="360" w:lineRule="auto"/>
        <w:jc w:val="center"/>
        <w:rPr>
          <w:rFonts w:ascii="Times New Roman" w:hAnsi="Times New Roman"/>
          <w:color w:val="800080"/>
          <w:sz w:val="24"/>
          <w:szCs w:val="24"/>
        </w:rPr>
      </w:pP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bookmarkStart w:id="0" w:name="_GoBack"/>
      <w:bookmarkEnd w:id="0"/>
    </w:p>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0D06A8" w:rsidP="00CB4AD3">
      <w:pPr>
        <w:pStyle w:val="4"/>
        <w:jc w:val="center"/>
        <w:rPr>
          <w:rFonts w:ascii="Times New Roman" w:hAnsi="Times New Roman"/>
          <w:b w:val="0"/>
          <w:sz w:val="24"/>
        </w:rPr>
      </w:pPr>
      <w:r>
        <w:rPr>
          <w:rFonts w:ascii="Times New Roman" w:hAnsi="Times New Roman"/>
          <w:b w:val="0"/>
          <w:sz w:val="24"/>
        </w:rPr>
        <w:t>Чебоксары 202</w:t>
      </w:r>
      <w:r w:rsidR="00542424">
        <w:rPr>
          <w:rFonts w:ascii="Times New Roman" w:hAnsi="Times New Roman"/>
          <w:b w:val="0"/>
          <w:sz w:val="24"/>
        </w:rPr>
        <w:t>2</w:t>
      </w:r>
      <w:r>
        <w:rPr>
          <w:rFonts w:ascii="Times New Roman" w:hAnsi="Times New Roman"/>
          <w:b w:val="0"/>
          <w:sz w:val="24"/>
        </w:rPr>
        <w:t xml:space="preserve"> </w:t>
      </w:r>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микрометод.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микрометоду существенно  повышается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наблюдений  заносить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lastRenderedPageBreak/>
        <w:t>В процессе работы следует соблюдать чистоту, аккуратность. Быть внимательным и осторожным, держать все соединения и растворители подальше от глаз, рта, кожи  одежды, избегать вдыхания паров и пыли, и никогда ничего не пробовать на вкус.  В 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 xml:space="preserve">чески запрещается </w:t>
      </w:r>
      <w:r w:rsidRPr="002D7C2F">
        <w:rPr>
          <w:rFonts w:ascii="Times New Roman" w:hAnsi="Times New Roman"/>
          <w:color w:val="000000"/>
          <w:sz w:val="24"/>
          <w:szCs w:val="24"/>
        </w:rPr>
        <w:lastRenderedPageBreak/>
        <w:t>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5%-ным раствором танина в 40%-ном этиловом спирте, 1%-ным раствором перманганата калия или 2%-ным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2%-ным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2%-ным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2%-ным раствором питьевой соды, если в глаза попала кислота, или 2%-ным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2%-ным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5%-ным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2%-ного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lastRenderedPageBreak/>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224793" w:rsidRPr="002D7C2F" w:rsidRDefault="002D7C2F" w:rsidP="005A292E">
      <w:pPr>
        <w:pStyle w:val="Default"/>
        <w:jc w:val="center"/>
        <w:rPr>
          <w:b/>
          <w:bCs/>
          <w:szCs w:val="28"/>
        </w:rPr>
      </w:pPr>
      <w:r w:rsidRPr="002D7C2F">
        <w:rPr>
          <w:b/>
          <w:bCs/>
          <w:szCs w:val="28"/>
        </w:rPr>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lastRenderedPageBreak/>
              <w:t>Лабораторное занятие №9. Влияние температуры на скорость заквашивания молока.</w:t>
            </w:r>
          </w:p>
        </w:tc>
        <w:tc>
          <w:tcPr>
            <w:tcW w:w="1417" w:type="dxa"/>
          </w:tcPr>
          <w:p w:rsidR="002457C8" w:rsidRPr="002D7C2F" w:rsidRDefault="002457C8" w:rsidP="005A292E">
            <w:pPr>
              <w:pStyle w:val="Default"/>
              <w:jc w:val="center"/>
              <w:rPr>
                <w:color w:val="auto"/>
              </w:rPr>
            </w:pPr>
            <w:r w:rsidRPr="002D7C2F">
              <w:rPr>
                <w:color w:val="auto"/>
              </w:rPr>
              <w:t>2</w:t>
            </w:r>
          </w:p>
        </w:tc>
      </w:tr>
      <w:tr w:rsidR="005129C4" w:rsidRPr="002D7C2F" w:rsidTr="005A292E">
        <w:tc>
          <w:tcPr>
            <w:tcW w:w="8330" w:type="dxa"/>
          </w:tcPr>
          <w:p w:rsidR="005129C4" w:rsidRPr="005129C4" w:rsidRDefault="005129C4" w:rsidP="00146C6F">
            <w:pPr>
              <w:pStyle w:val="Default"/>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lastRenderedPageBreak/>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N измерения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542424"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542424"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542424"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542424"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542424"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542424">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542424">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lastRenderedPageBreak/>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r w:rsidRPr="00EC4C14">
        <w:rPr>
          <w:rFonts w:ascii="Times New Roman" w:hAnsi="Times New Roman"/>
          <w:sz w:val="24"/>
          <w:szCs w:val="24"/>
        </w:rPr>
        <w:t>шаростержневые модели – конструкторы</w:t>
      </w:r>
    </w:p>
    <w:p w:rsidR="00EC4C14" w:rsidRPr="00EC4C14" w:rsidRDefault="00EC4C14" w:rsidP="00EC4C14">
      <w:pPr>
        <w:spacing w:line="240" w:lineRule="auto"/>
        <w:jc w:val="both"/>
        <w:rPr>
          <w:rFonts w:ascii="Times New Roman" w:hAnsi="Times New Roman"/>
          <w:sz w:val="24"/>
          <w:szCs w:val="24"/>
        </w:rPr>
      </w:pPr>
      <w:r w:rsidRPr="00EC4C14">
        <w:rPr>
          <w:rFonts w:ascii="Times New Roman" w:hAnsi="Times New Roman"/>
          <w:b/>
          <w:i/>
          <w:sz w:val="24"/>
          <w:szCs w:val="24"/>
        </w:rPr>
        <w:t>Модели́рование</w:t>
      </w:r>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542424"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lastRenderedPageBreak/>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Для построения моделей ароматических соединений следует использовать особые бензольные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Построить шаростержневые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Органические вещества: пенициллановая кислота, циклогексан, метан, метилоранж, этилен, ацителен,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lastRenderedPageBreak/>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лм/вт и составляет у рассмотренной нами светодиодной лампы … лм/вт, а у исследуемой лампы накаливания - … лм/вт,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r w:rsidRPr="00567B06">
        <w:rPr>
          <w:rFonts w:ascii="Times New Roman" w:eastAsia="Times New Roman" w:hAnsi="Times New Roman"/>
          <w:i/>
          <w:iCs/>
          <w:color w:val="000000"/>
          <w:sz w:val="24"/>
          <w:szCs w:val="24"/>
          <w:lang w:eastAsia="ru-RU"/>
        </w:rPr>
        <w:t>Сl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реактивы,оборудование: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542424"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7.7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ользуют pH-метр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(Cl-)</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r w:rsidR="00F60DD3" w:rsidRPr="00F60DD3">
        <w:rPr>
          <w:rFonts w:ascii="Times New Roman" w:eastAsia="Times New Roman" w:hAnsi="Times New Roman"/>
          <w:i/>
          <w:iCs/>
          <w:color w:val="000000"/>
          <w:sz w:val="24"/>
          <w:szCs w:val="24"/>
          <w:lang w:eastAsia="ru-RU"/>
        </w:rPr>
        <w:t>NaCl</w:t>
      </w:r>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i/>
          <w:iCs/>
          <w:color w:val="000000"/>
          <w:sz w:val="24"/>
          <w:szCs w:val="24"/>
          <w:lang w:eastAsia="ru-RU"/>
        </w:rPr>
        <w:t>NaCl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AgCl</w:t>
      </w:r>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D679CA">
        <w:rPr>
          <w:rFonts w:ascii="Times New Roman" w:eastAsia="Times New Roman" w:hAnsi="Times New Roman"/>
          <w:i/>
          <w:iCs/>
          <w:color w:val="000000"/>
          <w:sz w:val="24"/>
          <w:szCs w:val="24"/>
          <w:lang w:eastAsia="ru-RU"/>
        </w:rPr>
        <w:fldChar w:fldCharType="begin"/>
      </w:r>
      <w:r w:rsidR="00D679CA">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D679CA">
        <w:rPr>
          <w:rFonts w:ascii="Times New Roman" w:eastAsia="Times New Roman" w:hAnsi="Times New Roman"/>
          <w:i/>
          <w:iCs/>
          <w:color w:val="000000"/>
          <w:sz w:val="24"/>
          <w:szCs w:val="24"/>
          <w:lang w:eastAsia="ru-RU"/>
        </w:rPr>
        <w:fldChar w:fldCharType="separate"/>
      </w:r>
      <w:r w:rsidR="00325F77">
        <w:rPr>
          <w:rFonts w:ascii="Times New Roman" w:eastAsia="Times New Roman" w:hAnsi="Times New Roman"/>
          <w:i/>
          <w:iCs/>
          <w:color w:val="000000"/>
          <w:sz w:val="24"/>
          <w:szCs w:val="24"/>
          <w:lang w:eastAsia="ru-RU"/>
        </w:rPr>
        <w:fldChar w:fldCharType="begin"/>
      </w:r>
      <w:r w:rsidR="00325F77">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325F77">
        <w:rPr>
          <w:rFonts w:ascii="Times New Roman" w:eastAsia="Times New Roman" w:hAnsi="Times New Roman"/>
          <w:i/>
          <w:iCs/>
          <w:color w:val="000000"/>
          <w:sz w:val="24"/>
          <w:szCs w:val="24"/>
          <w:lang w:eastAsia="ru-RU"/>
        </w:rPr>
        <w:fldChar w:fldCharType="separate"/>
      </w:r>
      <w:r w:rsidR="000D06A8">
        <w:rPr>
          <w:rFonts w:ascii="Times New Roman" w:eastAsia="Times New Roman" w:hAnsi="Times New Roman"/>
          <w:i/>
          <w:iCs/>
          <w:color w:val="000000"/>
          <w:sz w:val="24"/>
          <w:szCs w:val="24"/>
          <w:lang w:eastAsia="ru-RU"/>
        </w:rPr>
        <w:fldChar w:fldCharType="begin"/>
      </w:r>
      <w:r w:rsidR="000D0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0D06A8">
        <w:rPr>
          <w:rFonts w:ascii="Times New Roman" w:eastAsia="Times New Roman" w:hAnsi="Times New Roman"/>
          <w:i/>
          <w:iCs/>
          <w:color w:val="000000"/>
          <w:sz w:val="24"/>
          <w:szCs w:val="24"/>
          <w:lang w:eastAsia="ru-RU"/>
        </w:rPr>
        <w:fldChar w:fldCharType="separate"/>
      </w:r>
      <w:r w:rsidR="00542424">
        <w:rPr>
          <w:rFonts w:ascii="Times New Roman" w:eastAsia="Times New Roman" w:hAnsi="Times New Roman"/>
          <w:i/>
          <w:iCs/>
          <w:color w:val="000000"/>
          <w:sz w:val="24"/>
          <w:szCs w:val="24"/>
          <w:lang w:eastAsia="ru-RU"/>
        </w:rPr>
        <w:fldChar w:fldCharType="begin"/>
      </w:r>
      <w:r w:rsidR="00542424">
        <w:rPr>
          <w:rFonts w:ascii="Times New Roman" w:eastAsia="Times New Roman" w:hAnsi="Times New Roman"/>
          <w:i/>
          <w:iCs/>
          <w:color w:val="000000"/>
          <w:sz w:val="24"/>
          <w:szCs w:val="24"/>
          <w:lang w:eastAsia="ru-RU"/>
        </w:rPr>
        <w:instrText xml:space="preserve"> </w:instrText>
      </w:r>
      <w:r w:rsidR="00542424">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542424">
        <w:rPr>
          <w:rFonts w:ascii="Times New Roman" w:eastAsia="Times New Roman" w:hAnsi="Times New Roman"/>
          <w:i/>
          <w:iCs/>
          <w:color w:val="000000"/>
          <w:sz w:val="24"/>
          <w:szCs w:val="24"/>
          <w:lang w:eastAsia="ru-RU"/>
        </w:rPr>
        <w:instrText xml:space="preserve"> </w:instrText>
      </w:r>
      <w:r w:rsidR="00542424">
        <w:rPr>
          <w:rFonts w:ascii="Times New Roman" w:eastAsia="Times New Roman" w:hAnsi="Times New Roman"/>
          <w:i/>
          <w:iCs/>
          <w:color w:val="000000"/>
          <w:sz w:val="24"/>
          <w:szCs w:val="24"/>
          <w:lang w:eastAsia="ru-RU"/>
        </w:rPr>
        <w:fldChar w:fldCharType="separate"/>
      </w:r>
      <w:r w:rsidR="00542424">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542424">
        <w:rPr>
          <w:rFonts w:ascii="Times New Roman" w:eastAsia="Times New Roman" w:hAnsi="Times New Roman"/>
          <w:i/>
          <w:iCs/>
          <w:color w:val="000000"/>
          <w:sz w:val="24"/>
          <w:szCs w:val="24"/>
          <w:lang w:eastAsia="ru-RU"/>
        </w:rPr>
        <w:fldChar w:fldCharType="end"/>
      </w:r>
      <w:r w:rsidR="000D06A8">
        <w:rPr>
          <w:rFonts w:ascii="Times New Roman" w:eastAsia="Times New Roman" w:hAnsi="Times New Roman"/>
          <w:i/>
          <w:iCs/>
          <w:color w:val="000000"/>
          <w:sz w:val="24"/>
          <w:szCs w:val="24"/>
          <w:lang w:eastAsia="ru-RU"/>
        </w:rPr>
        <w:fldChar w:fldCharType="end"/>
      </w:r>
      <w:r w:rsidR="00325F77">
        <w:rPr>
          <w:rFonts w:ascii="Times New Roman" w:eastAsia="Times New Roman" w:hAnsi="Times New Roman"/>
          <w:i/>
          <w:iCs/>
          <w:color w:val="000000"/>
          <w:sz w:val="24"/>
          <w:szCs w:val="24"/>
          <w:lang w:eastAsia="ru-RU"/>
        </w:rPr>
        <w:fldChar w:fldCharType="end"/>
      </w:r>
      <w:r w:rsidR="00D679CA">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В пробирку наливают 3 мл талой воды, добавляют 3-4 капли 10%-й соляной кислоты и 2 мл 20%-го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542424">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4%-го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542424">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0D06A8"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D679CA">
        <w:rPr>
          <w:rFonts w:ascii="Times New Roman" w:eastAsia="Times New Roman" w:hAnsi="Times New Roman"/>
          <w:i/>
          <w:iCs/>
          <w:color w:val="000000"/>
          <w:sz w:val="24"/>
          <w:szCs w:val="24"/>
          <w:lang w:val="en-US" w:eastAsia="ru-RU"/>
        </w:rPr>
        <w:t>CaCl</w:t>
      </w:r>
      <w:r w:rsidRPr="000D06A8">
        <w:rPr>
          <w:rFonts w:ascii="Times New Roman" w:eastAsia="Times New Roman" w:hAnsi="Times New Roman"/>
          <w:i/>
          <w:iCs/>
          <w:color w:val="000000"/>
          <w:sz w:val="24"/>
          <w:szCs w:val="24"/>
          <w:vertAlign w:val="subscript"/>
          <w:lang w:eastAsia="ru-RU"/>
        </w:rPr>
        <w:t>2</w:t>
      </w:r>
      <w:r w:rsidRPr="00D679CA">
        <w:rPr>
          <w:rFonts w:ascii="Times New Roman" w:eastAsia="Times New Roman" w:hAnsi="Times New Roman"/>
          <w:i/>
          <w:iCs/>
          <w:color w:val="000000"/>
          <w:sz w:val="24"/>
          <w:szCs w:val="24"/>
          <w:lang w:val="en-US" w:eastAsia="ru-RU"/>
        </w:rPr>
        <w:t> </w:t>
      </w:r>
      <w:r w:rsidRPr="000D06A8">
        <w:rPr>
          <w:rFonts w:ascii="Times New Roman" w:eastAsia="Times New Roman" w:hAnsi="Times New Roman"/>
          <w:i/>
          <w:iCs/>
          <w:color w:val="000000"/>
          <w:sz w:val="24"/>
          <w:szCs w:val="24"/>
          <w:lang w:eastAsia="ru-RU"/>
        </w:rPr>
        <w:t>+ (</w:t>
      </w:r>
      <w:r w:rsidRPr="00D679CA">
        <w:rPr>
          <w:rFonts w:ascii="Times New Roman" w:eastAsia="Times New Roman" w:hAnsi="Times New Roman"/>
          <w:i/>
          <w:iCs/>
          <w:color w:val="000000"/>
          <w:sz w:val="24"/>
          <w:szCs w:val="24"/>
          <w:lang w:val="en-US" w:eastAsia="ru-RU"/>
        </w:rPr>
        <w:t>NH</w:t>
      </w:r>
      <w:r w:rsidRPr="000D06A8">
        <w:rPr>
          <w:rFonts w:ascii="Times New Roman" w:eastAsia="Times New Roman" w:hAnsi="Times New Roman"/>
          <w:i/>
          <w:iCs/>
          <w:color w:val="000000"/>
          <w:sz w:val="24"/>
          <w:szCs w:val="24"/>
          <w:vertAlign w:val="subscript"/>
          <w:lang w:eastAsia="ru-RU"/>
        </w:rPr>
        <w:t>4</w:t>
      </w:r>
      <w:r w:rsidRPr="000D06A8">
        <w:rPr>
          <w:rFonts w:ascii="Times New Roman" w:eastAsia="Times New Roman" w:hAnsi="Times New Roman"/>
          <w:i/>
          <w:iCs/>
          <w:color w:val="000000"/>
          <w:sz w:val="24"/>
          <w:szCs w:val="24"/>
          <w:lang w:eastAsia="ru-RU"/>
        </w:rPr>
        <w:t>)</w:t>
      </w:r>
      <w:r w:rsidRPr="000D06A8">
        <w:rPr>
          <w:rFonts w:ascii="Times New Roman" w:eastAsia="Times New Roman" w:hAnsi="Times New Roman"/>
          <w:i/>
          <w:iCs/>
          <w:color w:val="000000"/>
          <w:sz w:val="24"/>
          <w:szCs w:val="24"/>
          <w:vertAlign w:val="subscript"/>
          <w:lang w:eastAsia="ru-RU"/>
        </w:rPr>
        <w:t>2</w:t>
      </w:r>
      <w:r w:rsidRPr="00D679CA">
        <w:rPr>
          <w:rFonts w:ascii="Times New Roman" w:eastAsia="Times New Roman" w:hAnsi="Times New Roman"/>
          <w:i/>
          <w:iCs/>
          <w:color w:val="000000"/>
          <w:sz w:val="24"/>
          <w:szCs w:val="24"/>
          <w:lang w:val="en-US" w:eastAsia="ru-RU"/>
        </w:rPr>
        <w:t>C</w:t>
      </w:r>
      <w:r w:rsidRPr="000D06A8">
        <w:rPr>
          <w:rFonts w:ascii="Times New Roman" w:eastAsia="Times New Roman" w:hAnsi="Times New Roman"/>
          <w:i/>
          <w:iCs/>
          <w:color w:val="000000"/>
          <w:sz w:val="24"/>
          <w:szCs w:val="24"/>
          <w:vertAlign w:val="subscript"/>
          <w:lang w:eastAsia="ru-RU"/>
        </w:rPr>
        <w:t>2</w:t>
      </w:r>
      <w:r w:rsidRPr="00D679CA">
        <w:rPr>
          <w:rFonts w:ascii="Times New Roman" w:eastAsia="Times New Roman" w:hAnsi="Times New Roman"/>
          <w:i/>
          <w:iCs/>
          <w:color w:val="000000"/>
          <w:sz w:val="24"/>
          <w:szCs w:val="24"/>
          <w:lang w:val="en-US" w:eastAsia="ru-RU"/>
        </w:rPr>
        <w:t>O</w:t>
      </w:r>
      <w:r w:rsidRPr="000D06A8">
        <w:rPr>
          <w:rFonts w:ascii="Times New Roman" w:eastAsia="Times New Roman" w:hAnsi="Times New Roman"/>
          <w:i/>
          <w:iCs/>
          <w:color w:val="000000"/>
          <w:sz w:val="24"/>
          <w:szCs w:val="24"/>
          <w:vertAlign w:val="subscript"/>
          <w:lang w:eastAsia="ru-RU"/>
        </w:rPr>
        <w:t>4</w:t>
      </w:r>
      <w:r w:rsidRPr="00D679CA">
        <w:rPr>
          <w:rFonts w:ascii="Times New Roman" w:eastAsia="Times New Roman" w:hAnsi="Times New Roman"/>
          <w:i/>
          <w:iCs/>
          <w:color w:val="000000"/>
          <w:sz w:val="24"/>
          <w:szCs w:val="24"/>
          <w:lang w:val="en-US" w:eastAsia="ru-RU"/>
        </w:rPr>
        <w:t> </w:t>
      </w:r>
      <w:r w:rsidRPr="000D06A8">
        <w:rPr>
          <w:rFonts w:ascii="Times New Roman" w:eastAsia="Times New Roman" w:hAnsi="Times New Roman"/>
          <w:i/>
          <w:iCs/>
          <w:color w:val="000000"/>
          <w:sz w:val="24"/>
          <w:szCs w:val="24"/>
          <w:lang w:eastAsia="ru-RU"/>
        </w:rPr>
        <w:t>= 2</w:t>
      </w:r>
      <w:r w:rsidRPr="00D679CA">
        <w:rPr>
          <w:rFonts w:ascii="Times New Roman" w:eastAsia="Times New Roman" w:hAnsi="Times New Roman"/>
          <w:i/>
          <w:iCs/>
          <w:color w:val="000000"/>
          <w:sz w:val="24"/>
          <w:szCs w:val="24"/>
          <w:lang w:val="en-US" w:eastAsia="ru-RU"/>
        </w:rPr>
        <w:t>NH</w:t>
      </w:r>
      <w:r w:rsidRPr="000D06A8">
        <w:rPr>
          <w:rFonts w:ascii="Times New Roman" w:eastAsia="Times New Roman" w:hAnsi="Times New Roman"/>
          <w:i/>
          <w:iCs/>
          <w:color w:val="000000"/>
          <w:sz w:val="24"/>
          <w:szCs w:val="24"/>
          <w:vertAlign w:val="subscript"/>
          <w:lang w:eastAsia="ru-RU"/>
        </w:rPr>
        <w:t>4</w:t>
      </w:r>
      <w:r w:rsidRPr="00D679CA">
        <w:rPr>
          <w:rFonts w:ascii="Times New Roman" w:eastAsia="Times New Roman" w:hAnsi="Times New Roman"/>
          <w:i/>
          <w:iCs/>
          <w:color w:val="000000"/>
          <w:sz w:val="24"/>
          <w:szCs w:val="24"/>
          <w:lang w:val="en-US" w:eastAsia="ru-RU"/>
        </w:rPr>
        <w:t>Cl</w:t>
      </w:r>
      <w:r w:rsidRPr="000D06A8">
        <w:rPr>
          <w:rFonts w:ascii="Times New Roman" w:eastAsia="Times New Roman" w:hAnsi="Times New Roman"/>
          <w:i/>
          <w:iCs/>
          <w:color w:val="000000"/>
          <w:sz w:val="24"/>
          <w:szCs w:val="24"/>
          <w:lang w:eastAsia="ru-RU"/>
        </w:rPr>
        <w:t xml:space="preserve"> + </w:t>
      </w:r>
      <w:r w:rsidRPr="00D679CA">
        <w:rPr>
          <w:rFonts w:ascii="Times New Roman" w:eastAsia="Times New Roman" w:hAnsi="Times New Roman"/>
          <w:i/>
          <w:iCs/>
          <w:color w:val="000000"/>
          <w:sz w:val="24"/>
          <w:szCs w:val="24"/>
          <w:lang w:val="en-US" w:eastAsia="ru-RU"/>
        </w:rPr>
        <w:t>CaC</w:t>
      </w:r>
      <w:r w:rsidRPr="000D06A8">
        <w:rPr>
          <w:rFonts w:ascii="Times New Roman" w:eastAsia="Times New Roman" w:hAnsi="Times New Roman"/>
          <w:i/>
          <w:iCs/>
          <w:color w:val="000000"/>
          <w:sz w:val="24"/>
          <w:szCs w:val="24"/>
          <w:vertAlign w:val="subscript"/>
          <w:lang w:eastAsia="ru-RU"/>
        </w:rPr>
        <w:t>2</w:t>
      </w:r>
      <w:r w:rsidRPr="00D679CA">
        <w:rPr>
          <w:rFonts w:ascii="Times New Roman" w:eastAsia="Times New Roman" w:hAnsi="Times New Roman"/>
          <w:i/>
          <w:iCs/>
          <w:color w:val="000000"/>
          <w:sz w:val="24"/>
          <w:szCs w:val="24"/>
          <w:lang w:val="en-US" w:eastAsia="ru-RU"/>
        </w:rPr>
        <w:t>O</w:t>
      </w:r>
      <w:r w:rsidRPr="000D06A8">
        <w:rPr>
          <w:rFonts w:ascii="Times New Roman" w:eastAsia="Times New Roman" w:hAnsi="Times New Roman"/>
          <w:i/>
          <w:iCs/>
          <w:color w:val="000000"/>
          <w:sz w:val="24"/>
          <w:szCs w:val="24"/>
          <w:vertAlign w:val="subscript"/>
          <w:lang w:eastAsia="ru-RU"/>
        </w:rPr>
        <w:t>4</w:t>
      </w:r>
      <w:r w:rsidR="00542424">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r w:rsidRPr="00567B06">
        <w:rPr>
          <w:rFonts w:ascii="Times New Roman" w:eastAsia="Times New Roman" w:hAnsi="Times New Roman"/>
          <w:i/>
          <w:iCs/>
          <w:color w:val="000000"/>
          <w:sz w:val="24"/>
          <w:szCs w:val="24"/>
          <w:lang w:eastAsia="ru-RU"/>
        </w:rPr>
        <w:t>Ca(NO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r w:rsidRPr="00567B06">
        <w:rPr>
          <w:rFonts w:ascii="Times New Roman" w:eastAsia="Times New Roman" w:hAnsi="Times New Roman"/>
          <w:i/>
          <w:iCs/>
          <w:color w:val="000000"/>
          <w:sz w:val="24"/>
          <w:szCs w:val="24"/>
          <w:lang w:eastAsia="ru-RU"/>
        </w:rPr>
        <w:t>Ca(HCO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ная воронка (100 мл), коническая воронка (диаметром 36 мм), колба коническая (50—100 мл), промывалка,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     В колбу 2/3 наливают исследуемую пробу при температуре около 20оС. Накрывают </w:t>
      </w:r>
      <w:r w:rsidRPr="00472130">
        <w:rPr>
          <w:rFonts w:ascii="Times New Roman" w:hAnsi="Times New Roman"/>
          <w:bCs/>
        </w:rPr>
        <w:lastRenderedPageBreak/>
        <w:t>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цилиндр мерный 50 мл, воронка, фильтр обеззоленный.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(конц)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lastRenderedPageBreak/>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542424"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542424"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542424"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542424"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542424"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542424"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542424"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lastRenderedPageBreak/>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и артериальное давление</w:t>
      </w:r>
      <w:r w:rsidRPr="000862B1">
        <w:rPr>
          <w:rFonts w:ascii="Times New Roman" w:eastAsia="Calibri" w:hAnsi="Times New Roman"/>
          <w:lang w:eastAsia="en-US"/>
        </w:rPr>
        <w:t>в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lastRenderedPageBreak/>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 xml:space="preserve">ЖЕЛ зависит от многих факторов: возраста, пола, стадии полового созревания,  популяционных особенностей строения тела, </w:t>
      </w:r>
      <w:r w:rsidRPr="00705982">
        <w:rPr>
          <w:rFonts w:ascii="Times New Roman" w:eastAsia="Times New Roman" w:hAnsi="Times New Roman"/>
          <w:color w:val="000000"/>
          <w:sz w:val="24"/>
          <w:szCs w:val="24"/>
          <w:lang w:eastAsia="ru-RU"/>
        </w:rPr>
        <w:lastRenderedPageBreak/>
        <w:t>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542424"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542424"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w:t>
      </w:r>
      <w:r w:rsidRPr="0092237F">
        <w:rPr>
          <w:rFonts w:ascii="Times New Roman" w:hAnsi="Times New Roman"/>
          <w:iCs/>
          <w:sz w:val="24"/>
          <w:szCs w:val="24"/>
        </w:rPr>
        <w:lastRenderedPageBreak/>
        <w:t xml:space="preserve">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(предожирение)</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(морбидное)</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8.Занимайтесь активными кардиоупражнениями.</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кардиофитнеса.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tbl>
      <w:tblPr>
        <w:tblpPr w:leftFromText="180" w:rightFromText="180" w:vertAnchor="page" w:horzAnchor="margin" w:tblpXSpec="center" w:tblpY="3413"/>
        <w:tblW w:w="10041" w:type="dxa"/>
        <w:tblCellMar>
          <w:left w:w="0" w:type="dxa"/>
          <w:right w:w="0" w:type="dxa"/>
        </w:tblCellMar>
        <w:tblLook w:val="0420" w:firstRow="1" w:lastRow="0" w:firstColumn="0" w:lastColumn="0" w:noHBand="0" w:noVBand="1"/>
      </w:tblPr>
      <w:tblGrid>
        <w:gridCol w:w="3347"/>
        <w:gridCol w:w="3347"/>
        <w:gridCol w:w="3347"/>
      </w:tblGrid>
      <w:tr w:rsidR="0092237F" w:rsidRPr="0092237F" w:rsidTr="0092237F">
        <w:trPr>
          <w:trHeight w:val="815"/>
        </w:trPr>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2237F" w:rsidRPr="0092237F" w:rsidTr="0092237F">
        <w:trPr>
          <w:trHeight w:val="466"/>
        </w:trPr>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81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542424"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pict>
          <v:shape id="_x0000_i1037" type="#_x0000_t75" style="width:401.25pt;height:300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Default="00A73250" w:rsidP="00A73250">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w:t>
      </w:r>
      <w:r w:rsidRPr="00260612">
        <w:rPr>
          <w:rFonts w:ascii="Times New Roman" w:hAnsi="Times New Roman"/>
          <w:color w:val="111115"/>
          <w:sz w:val="24"/>
          <w:szCs w:val="24"/>
          <w:shd w:val="clear" w:color="auto" w:fill="FFFFFF"/>
        </w:rPr>
        <w:lastRenderedPageBreak/>
        <w:t xml:space="preserve">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w:t>
      </w:r>
      <w:r w:rsidRPr="00260612">
        <w:rPr>
          <w:rFonts w:ascii="Times New Roman" w:hAnsi="Times New Roman"/>
          <w:color w:val="111115"/>
          <w:sz w:val="24"/>
          <w:szCs w:val="24"/>
          <w:shd w:val="clear" w:color="auto" w:fill="FFFFFF"/>
        </w:rPr>
        <w:lastRenderedPageBreak/>
        <w:t xml:space="preserve">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 xml:space="preserve">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w:t>
      </w:r>
      <w:r w:rsidRPr="00260612">
        <w:rPr>
          <w:rFonts w:ascii="Times New Roman" w:hAnsi="Times New Roman"/>
          <w:color w:val="111115"/>
          <w:sz w:val="24"/>
          <w:szCs w:val="24"/>
          <w:shd w:val="clear" w:color="auto" w:fill="FFFFFF"/>
        </w:rPr>
        <w:lastRenderedPageBreak/>
        <w:t>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Default="00360E40" w:rsidP="0092237F">
      <w:pPr>
        <w:spacing w:after="160" w:line="360" w:lineRule="auto"/>
        <w:contextualSpacing/>
        <w:jc w:val="both"/>
        <w:rPr>
          <w:rFonts w:ascii="Times New Roman" w:hAnsi="Times New Roman"/>
          <w:sz w:val="24"/>
          <w:szCs w:val="24"/>
        </w:rPr>
      </w:pPr>
      <w:r w:rsidRPr="00F233E5">
        <w:rPr>
          <w:rFonts w:ascii="Times New Roman" w:hAnsi="Times New Roman"/>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одноразовые пластиковые чашки Петри с плотной питательной средой ( 2 % простой агар),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Для исследования микрофлоры воздуха используют различные методы: осаждения (седиментационный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(единиц/ куб.дм)</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lastRenderedPageBreak/>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Роданид железа - Fe(SCN)3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3KSCN + FeCl3 = Fe(SCN)3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ного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lastRenderedPageBreak/>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энерготраты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542424"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Энергоценность,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lastRenderedPageBreak/>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формуле Брока: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индексу Брейтмана: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D679CA">
        <w:rPr>
          <w:rFonts w:ascii="Times New Roman" w:hAnsi="Times New Roman"/>
          <w:sz w:val="24"/>
          <w:szCs w:val="24"/>
        </w:rPr>
        <w:fldChar w:fldCharType="begin"/>
      </w:r>
      <w:r w:rsidR="00D679CA">
        <w:rPr>
          <w:rFonts w:ascii="Times New Roman" w:hAnsi="Times New Roman"/>
          <w:sz w:val="24"/>
          <w:szCs w:val="24"/>
        </w:rPr>
        <w:instrText xml:space="preserve"> INCLUDEPICTURE  "https://fs.znanio.ru/8c0997/9c/97/3f66ca86c03d849c6300567c87ff19e312.gif" \* MERGEFORMATINET </w:instrText>
      </w:r>
      <w:r w:rsidR="00D679CA">
        <w:rPr>
          <w:rFonts w:ascii="Times New Roman" w:hAnsi="Times New Roman"/>
          <w:sz w:val="24"/>
          <w:szCs w:val="24"/>
        </w:rPr>
        <w:fldChar w:fldCharType="separate"/>
      </w:r>
      <w:r w:rsidR="00325F77">
        <w:rPr>
          <w:rFonts w:ascii="Times New Roman" w:hAnsi="Times New Roman"/>
          <w:sz w:val="24"/>
          <w:szCs w:val="24"/>
        </w:rPr>
        <w:fldChar w:fldCharType="begin"/>
      </w:r>
      <w:r w:rsidR="00325F77">
        <w:rPr>
          <w:rFonts w:ascii="Times New Roman" w:hAnsi="Times New Roman"/>
          <w:sz w:val="24"/>
          <w:szCs w:val="24"/>
        </w:rPr>
        <w:instrText xml:space="preserve"> INCLUDEPICTURE  "https://fs.znanio.ru/8c0997/9c/97/3f66ca86c03d849c6300567c87ff19e312.gif" \* MERGEFORMATINET </w:instrText>
      </w:r>
      <w:r w:rsidR="00325F77">
        <w:rPr>
          <w:rFonts w:ascii="Times New Roman" w:hAnsi="Times New Roman"/>
          <w:sz w:val="24"/>
          <w:szCs w:val="24"/>
        </w:rPr>
        <w:fldChar w:fldCharType="separate"/>
      </w:r>
      <w:r w:rsidR="000D06A8">
        <w:rPr>
          <w:rFonts w:ascii="Times New Roman" w:hAnsi="Times New Roman"/>
          <w:sz w:val="24"/>
          <w:szCs w:val="24"/>
        </w:rPr>
        <w:fldChar w:fldCharType="begin"/>
      </w:r>
      <w:r w:rsidR="000D06A8">
        <w:rPr>
          <w:rFonts w:ascii="Times New Roman" w:hAnsi="Times New Roman"/>
          <w:sz w:val="24"/>
          <w:szCs w:val="24"/>
        </w:rPr>
        <w:instrText xml:space="preserve"> INCLUDEPICTURE  "https://fs.znanio.ru/8c0997/9c/97/3f66ca86c03d849c6300567c87ff19e312.gif" \* MERGEFORMATINET </w:instrText>
      </w:r>
      <w:r w:rsidR="000D06A8">
        <w:rPr>
          <w:rFonts w:ascii="Times New Roman" w:hAnsi="Times New Roman"/>
          <w:sz w:val="24"/>
          <w:szCs w:val="24"/>
        </w:rPr>
        <w:fldChar w:fldCharType="separate"/>
      </w:r>
      <w:r w:rsidR="00542424">
        <w:rPr>
          <w:rFonts w:ascii="Times New Roman" w:hAnsi="Times New Roman"/>
          <w:sz w:val="24"/>
          <w:szCs w:val="24"/>
        </w:rPr>
        <w:fldChar w:fldCharType="begin"/>
      </w:r>
      <w:r w:rsidR="00542424">
        <w:rPr>
          <w:rFonts w:ascii="Times New Roman" w:hAnsi="Times New Roman"/>
          <w:sz w:val="24"/>
          <w:szCs w:val="24"/>
        </w:rPr>
        <w:instrText xml:space="preserve"> </w:instrText>
      </w:r>
      <w:r w:rsidR="00542424">
        <w:rPr>
          <w:rFonts w:ascii="Times New Roman" w:hAnsi="Times New Roman"/>
          <w:sz w:val="24"/>
          <w:szCs w:val="24"/>
        </w:rPr>
        <w:instrText>INCLUDEPI</w:instrText>
      </w:r>
      <w:r w:rsidR="00542424">
        <w:rPr>
          <w:rFonts w:ascii="Times New Roman" w:hAnsi="Times New Roman"/>
          <w:sz w:val="24"/>
          <w:szCs w:val="24"/>
        </w:rPr>
        <w:instrText>CTURE  "https://fs.znanio.ru/8c0997/9c/97/3f66ca86c03d849c6300567c87ff19e312.gif" \* MERGEFORMATINET</w:instrText>
      </w:r>
      <w:r w:rsidR="00542424">
        <w:rPr>
          <w:rFonts w:ascii="Times New Roman" w:hAnsi="Times New Roman"/>
          <w:sz w:val="24"/>
          <w:szCs w:val="24"/>
        </w:rPr>
        <w:instrText xml:space="preserve"> </w:instrText>
      </w:r>
      <w:r w:rsidR="00542424">
        <w:rPr>
          <w:rFonts w:ascii="Times New Roman" w:hAnsi="Times New Roman"/>
          <w:sz w:val="24"/>
          <w:szCs w:val="24"/>
        </w:rPr>
        <w:fldChar w:fldCharType="separate"/>
      </w:r>
      <w:r w:rsidR="00542424">
        <w:rPr>
          <w:rFonts w:ascii="Times New Roman" w:hAnsi="Times New Roman"/>
          <w:sz w:val="24"/>
          <w:szCs w:val="24"/>
        </w:rPr>
        <w:pict>
          <v:shape id="_x0000_i1039" type="#_x0000_t75" alt="" style="width:341.25pt;height:30.75pt">
            <v:imagedata r:id="rId20" r:href="rId21"/>
          </v:shape>
        </w:pict>
      </w:r>
      <w:r w:rsidR="00542424">
        <w:rPr>
          <w:rFonts w:ascii="Times New Roman" w:hAnsi="Times New Roman"/>
          <w:sz w:val="24"/>
          <w:szCs w:val="24"/>
        </w:rPr>
        <w:fldChar w:fldCharType="end"/>
      </w:r>
      <w:r w:rsidR="000D06A8">
        <w:rPr>
          <w:rFonts w:ascii="Times New Roman" w:hAnsi="Times New Roman"/>
          <w:sz w:val="24"/>
          <w:szCs w:val="24"/>
        </w:rPr>
        <w:fldChar w:fldCharType="end"/>
      </w:r>
      <w:r w:rsidR="00325F77">
        <w:rPr>
          <w:rFonts w:ascii="Times New Roman" w:hAnsi="Times New Roman"/>
          <w:sz w:val="24"/>
          <w:szCs w:val="24"/>
        </w:rPr>
        <w:fldChar w:fldCharType="end"/>
      </w:r>
      <w:r w:rsidR="00D679CA">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индексом Кетле.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D679CA">
        <w:rPr>
          <w:rFonts w:ascii="Times New Roman" w:hAnsi="Times New Roman"/>
          <w:sz w:val="24"/>
          <w:szCs w:val="24"/>
        </w:rPr>
        <w:fldChar w:fldCharType="begin"/>
      </w:r>
      <w:r w:rsidR="00D679CA">
        <w:rPr>
          <w:rFonts w:ascii="Times New Roman" w:hAnsi="Times New Roman"/>
          <w:sz w:val="24"/>
          <w:szCs w:val="24"/>
        </w:rPr>
        <w:instrText xml:space="preserve"> INCLUDEPICTURE  "https://fs.znanio.ru/8c0997/12/d4/62df5b1feeed12bd542ee8290b4106fc47.gif" \* MERGEFORMATINET </w:instrText>
      </w:r>
      <w:r w:rsidR="00D679CA">
        <w:rPr>
          <w:rFonts w:ascii="Times New Roman" w:hAnsi="Times New Roman"/>
          <w:sz w:val="24"/>
          <w:szCs w:val="24"/>
        </w:rPr>
        <w:fldChar w:fldCharType="separate"/>
      </w:r>
      <w:r w:rsidR="00325F77">
        <w:rPr>
          <w:rFonts w:ascii="Times New Roman" w:hAnsi="Times New Roman"/>
          <w:sz w:val="24"/>
          <w:szCs w:val="24"/>
        </w:rPr>
        <w:fldChar w:fldCharType="begin"/>
      </w:r>
      <w:r w:rsidR="00325F77">
        <w:rPr>
          <w:rFonts w:ascii="Times New Roman" w:hAnsi="Times New Roman"/>
          <w:sz w:val="24"/>
          <w:szCs w:val="24"/>
        </w:rPr>
        <w:instrText xml:space="preserve"> INCLUDEPICTURE  "https://fs.znanio.ru/8c0997/12/d4/62df5b1feeed12bd542ee8290b4106fc47.gif" \* MERGEFORMATINET </w:instrText>
      </w:r>
      <w:r w:rsidR="00325F77">
        <w:rPr>
          <w:rFonts w:ascii="Times New Roman" w:hAnsi="Times New Roman"/>
          <w:sz w:val="24"/>
          <w:szCs w:val="24"/>
        </w:rPr>
        <w:fldChar w:fldCharType="separate"/>
      </w:r>
      <w:r w:rsidR="000D06A8">
        <w:rPr>
          <w:rFonts w:ascii="Times New Roman" w:hAnsi="Times New Roman"/>
          <w:sz w:val="24"/>
          <w:szCs w:val="24"/>
        </w:rPr>
        <w:fldChar w:fldCharType="begin"/>
      </w:r>
      <w:r w:rsidR="000D06A8">
        <w:rPr>
          <w:rFonts w:ascii="Times New Roman" w:hAnsi="Times New Roman"/>
          <w:sz w:val="24"/>
          <w:szCs w:val="24"/>
        </w:rPr>
        <w:instrText xml:space="preserve"> INCLUDEPICTURE  "https://fs.znanio.ru/8c0997/12/d4/62df5b1feeed12bd542ee8290b4106fc47.gif" \* MERGEFORMATINET </w:instrText>
      </w:r>
      <w:r w:rsidR="000D06A8">
        <w:rPr>
          <w:rFonts w:ascii="Times New Roman" w:hAnsi="Times New Roman"/>
          <w:sz w:val="24"/>
          <w:szCs w:val="24"/>
        </w:rPr>
        <w:fldChar w:fldCharType="separate"/>
      </w:r>
      <w:r w:rsidR="00542424">
        <w:rPr>
          <w:rFonts w:ascii="Times New Roman" w:hAnsi="Times New Roman"/>
          <w:sz w:val="24"/>
          <w:szCs w:val="24"/>
        </w:rPr>
        <w:fldChar w:fldCharType="begin"/>
      </w:r>
      <w:r w:rsidR="00542424">
        <w:rPr>
          <w:rFonts w:ascii="Times New Roman" w:hAnsi="Times New Roman"/>
          <w:sz w:val="24"/>
          <w:szCs w:val="24"/>
        </w:rPr>
        <w:instrText xml:space="preserve"> </w:instrText>
      </w:r>
      <w:r w:rsidR="00542424">
        <w:rPr>
          <w:rFonts w:ascii="Times New Roman" w:hAnsi="Times New Roman"/>
          <w:sz w:val="24"/>
          <w:szCs w:val="24"/>
        </w:rPr>
        <w:instrText>INCLUDEPICTURE  "https://fs.znanio.ru/8c0997/12/d4/62df5b1feeed12bd542ee8290b4106fc47.gif" \* MERGEFORMATINET</w:instrText>
      </w:r>
      <w:r w:rsidR="00542424">
        <w:rPr>
          <w:rFonts w:ascii="Times New Roman" w:hAnsi="Times New Roman"/>
          <w:sz w:val="24"/>
          <w:szCs w:val="24"/>
        </w:rPr>
        <w:instrText xml:space="preserve"> </w:instrText>
      </w:r>
      <w:r w:rsidR="00542424">
        <w:rPr>
          <w:rFonts w:ascii="Times New Roman" w:hAnsi="Times New Roman"/>
          <w:sz w:val="24"/>
          <w:szCs w:val="24"/>
        </w:rPr>
        <w:fldChar w:fldCharType="separate"/>
      </w:r>
      <w:r w:rsidR="00542424">
        <w:rPr>
          <w:rFonts w:ascii="Times New Roman" w:hAnsi="Times New Roman"/>
          <w:sz w:val="24"/>
          <w:szCs w:val="24"/>
        </w:rPr>
        <w:pict>
          <v:shape id="_x0000_i1040" type="#_x0000_t75" alt="" style="width:243.75pt;height:33.75pt">
            <v:imagedata r:id="rId22" r:href="rId23"/>
          </v:shape>
        </w:pict>
      </w:r>
      <w:r w:rsidR="00542424">
        <w:rPr>
          <w:rFonts w:ascii="Times New Roman" w:hAnsi="Times New Roman"/>
          <w:sz w:val="24"/>
          <w:szCs w:val="24"/>
        </w:rPr>
        <w:fldChar w:fldCharType="end"/>
      </w:r>
      <w:r w:rsidR="000D06A8">
        <w:rPr>
          <w:rFonts w:ascii="Times New Roman" w:hAnsi="Times New Roman"/>
          <w:sz w:val="24"/>
          <w:szCs w:val="24"/>
        </w:rPr>
        <w:fldChar w:fldCharType="end"/>
      </w:r>
      <w:r w:rsidR="00325F77">
        <w:rPr>
          <w:rFonts w:ascii="Times New Roman" w:hAnsi="Times New Roman"/>
          <w:sz w:val="24"/>
          <w:szCs w:val="24"/>
        </w:rPr>
        <w:fldChar w:fldCharType="end"/>
      </w:r>
      <w:r w:rsidR="00D679CA">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lastRenderedPageBreak/>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Коэф.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Са</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А, мкг рет. экв.</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Е, мг, ток. экв.</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Ниацин, мг н. экв.</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Фолат,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Коэф.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мг/сут.</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мальч.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девоч.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девуш.</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скобках указана потребность в линолевой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выражена в мкг холекальциферола (10 мг холекальциферола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После выбора группы интенсивности труда для взрослых и возрастной группы для детей, необходимо определить суточную энергоценность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Распределение энергоценности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Жиры,.г</w:t>
            </w:r>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Энергоценность,</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раст.</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Са</w:t>
            </w:r>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w:t>
      </w:r>
      <w:r w:rsidRPr="00D24060">
        <w:rPr>
          <w:rFonts w:ascii="Times New Roman" w:eastAsia="Times New Roman" w:hAnsi="Times New Roman"/>
          <w:color w:val="000000"/>
          <w:sz w:val="24"/>
          <w:szCs w:val="24"/>
          <w:lang w:eastAsia="ru-RU"/>
        </w:rPr>
        <w:lastRenderedPageBreak/>
        <w:t>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Раствор тиамина при добавлении роданида калия окисляется с образованием тиохрома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тиохром.</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его водородом образуется бесцветное соединение - лейкоформа рибофлавина /лейкофлавин/,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лейкосоединение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 это никотиновая кислота и ее амид (никотинамид).</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Биологическая активность никотиновой кислоты и ее амида в общем одинаковы, но в организме встречается преимущественно никотинамид, так как никотиновая кислота </w:t>
      </w:r>
      <w:r w:rsidRPr="00D24060">
        <w:rPr>
          <w:rFonts w:ascii="Times New Roman" w:eastAsia="Times New Roman" w:hAnsi="Times New Roman"/>
          <w:color w:val="000000"/>
          <w:sz w:val="24"/>
          <w:szCs w:val="24"/>
          <w:lang w:eastAsia="ru-RU"/>
        </w:rPr>
        <w:lastRenderedPageBreak/>
        <w:t>легко амидируется.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Никотинамид входит в состав анаэробных дегидрогеназ, кофермента-ми которых являются никотинамидадениндинуклеотид (НАД) и никотинамид-адениндинуклеотидфосфат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Авитаминоз РР (пеллагра) - результат нарушения окислительно-восстановительных процессов в организма вследствие недостатка никотинамида.</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 xml:space="preserve">5%-ного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(пиридоксол), пиридоксаль, пиридоксамин.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Каждое из этих соединений может превратиться в фосфопиридоксаль (Ф.П.), который является коферментом и реакциях переаминирования (трансаминирования) аминокислот, а также их декарбоксилирования, десульфитирования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10%-ный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10%-ный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5%-ный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1%-ный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1%-ный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 xml:space="preserve">К 5 каплям 1%-ного раствора витамина С приливают 1 каплю-раствора гидроксида калия и 1 каплю 5%-ного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10%-иого раствора соляной кислоты и 1 каплю 1%-ного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lastRenderedPageBreak/>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542424"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lastRenderedPageBreak/>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lastRenderedPageBreak/>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"https://fhd.multiurok.ru/1/3/5/13562a7f77500869df377ae864f2c1e70a9740f2/proiekt-issliedovaniie-sodierzhaniia-nitratov-v-ov_6.png"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w:instrText>
            </w:r>
            <w:r w:rsidR="00542424">
              <w:rPr>
                <w:rFonts w:ascii="Times New Roman" w:eastAsia="Times New Roman" w:hAnsi="Times New Roman"/>
                <w:b/>
                <w:bCs/>
                <w:color w:val="000000"/>
                <w:sz w:val="24"/>
                <w:szCs w:val="24"/>
                <w:lang w:eastAsia="ru-RU"/>
              </w:rPr>
              <w:instrText>TURE  "https://fhd.multiurok.ru/1/3/5/13562a7f77500869df377ae864f2c1e70a9740f2/proiekt-issliedovaniie-sodierzhaniia-nitratov-v-ov_7.png"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542424">
              <w:rPr>
                <w:rFonts w:ascii="Times New Roman" w:eastAsia="Times New Roman" w:hAnsi="Times New Roman"/>
                <w:b/>
                <w:bCs/>
                <w:color w:val="000000"/>
                <w:sz w:val="24"/>
                <w:szCs w:val="24"/>
                <w:lang w:eastAsia="ru-RU"/>
              </w:rPr>
              <w:instrText>liedovaniie-sodierzhaniia-nitratov-v-ov_8.png"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w:instrText>
            </w:r>
            <w:r w:rsidR="00542424">
              <w:rPr>
                <w:rFonts w:ascii="Times New Roman" w:eastAsia="Times New Roman" w:hAnsi="Times New Roman"/>
                <w:b/>
                <w:bCs/>
                <w:color w:val="000000"/>
                <w:sz w:val="24"/>
                <w:szCs w:val="24"/>
                <w:lang w:eastAsia="ru-RU"/>
              </w:rPr>
              <w:instrText>proiekt-issliedovaniie-sodierzhaniia-nitratov-v-ov_9.png"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"https://fhd.multiurok.ru/1/3/5/13562a7f77500869df377ae864f2c1e70a9740f2/proiekt</w:instrText>
            </w:r>
            <w:r w:rsidR="00542424">
              <w:rPr>
                <w:rFonts w:ascii="Times New Roman" w:eastAsia="Times New Roman" w:hAnsi="Times New Roman"/>
                <w:b/>
                <w:bCs/>
                <w:color w:val="000000"/>
                <w:sz w:val="24"/>
                <w:szCs w:val="24"/>
                <w:lang w:eastAsia="ru-RU"/>
              </w:rPr>
              <w:instrText>-issliedovaniie-sodierzhaniia-nitratov-v-ov_10.png"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"https://fhd.multiurok.ru/1/3/5/13562a7f77500869df377ae864f2c1e70a9740f2/proiekt</w:instrText>
            </w:r>
            <w:r w:rsidR="00542424">
              <w:rPr>
                <w:rFonts w:ascii="Times New Roman" w:eastAsia="Times New Roman" w:hAnsi="Times New Roman"/>
                <w:b/>
                <w:bCs/>
                <w:color w:val="000000"/>
                <w:sz w:val="24"/>
                <w:szCs w:val="24"/>
                <w:lang w:eastAsia="ru-RU"/>
              </w:rPr>
              <w:instrText>-issliedovaniie-sodierzhaniia-nitratov-v-ov_11.png"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D679CA">
              <w:rPr>
                <w:rFonts w:ascii="Times New Roman" w:eastAsia="Times New Roman" w:hAnsi="Times New Roman"/>
                <w:b/>
                <w:bCs/>
                <w:color w:val="000000"/>
                <w:sz w:val="24"/>
                <w:szCs w:val="24"/>
                <w:lang w:eastAsia="ru-RU"/>
              </w:rPr>
              <w:fldChar w:fldCharType="begin"/>
            </w:r>
            <w:r w:rsidR="00D679C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D679CA">
              <w:rPr>
                <w:rFonts w:ascii="Times New Roman" w:eastAsia="Times New Roman" w:hAnsi="Times New Roman"/>
                <w:b/>
                <w:bCs/>
                <w:color w:val="000000"/>
                <w:sz w:val="24"/>
                <w:szCs w:val="24"/>
                <w:lang w:eastAsia="ru-RU"/>
              </w:rPr>
              <w:fldChar w:fldCharType="separate"/>
            </w:r>
            <w:r w:rsidR="00325F77">
              <w:rPr>
                <w:rFonts w:ascii="Times New Roman" w:eastAsia="Times New Roman" w:hAnsi="Times New Roman"/>
                <w:b/>
                <w:bCs/>
                <w:color w:val="000000"/>
                <w:sz w:val="24"/>
                <w:szCs w:val="24"/>
                <w:lang w:eastAsia="ru-RU"/>
              </w:rPr>
              <w:fldChar w:fldCharType="begin"/>
            </w:r>
            <w:r w:rsidR="00325F7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325F77">
              <w:rPr>
                <w:rFonts w:ascii="Times New Roman" w:eastAsia="Times New Roman" w:hAnsi="Times New Roman"/>
                <w:b/>
                <w:bCs/>
                <w:color w:val="000000"/>
                <w:sz w:val="24"/>
                <w:szCs w:val="24"/>
                <w:lang w:eastAsia="ru-RU"/>
              </w:rPr>
              <w:fldChar w:fldCharType="separate"/>
            </w:r>
            <w:r w:rsidR="000D06A8">
              <w:rPr>
                <w:rFonts w:ascii="Times New Roman" w:eastAsia="Times New Roman" w:hAnsi="Times New Roman"/>
                <w:b/>
                <w:bCs/>
                <w:color w:val="000000"/>
                <w:sz w:val="24"/>
                <w:szCs w:val="24"/>
                <w:lang w:eastAsia="ru-RU"/>
              </w:rPr>
              <w:fldChar w:fldCharType="begin"/>
            </w:r>
            <w:r w:rsidR="000D06A8">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0D06A8">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fldChar w:fldCharType="begin"/>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instrText>INCLUDEPICTURE  "https://fhd.multiurok.ru/1/3/5/13562a7f77500869df377ae864f2c1e70a9740f2</w:instrText>
            </w:r>
            <w:r w:rsidR="00542424">
              <w:rPr>
                <w:rFonts w:ascii="Times New Roman" w:eastAsia="Times New Roman" w:hAnsi="Times New Roman"/>
                <w:b/>
                <w:bCs/>
                <w:color w:val="000000"/>
                <w:sz w:val="24"/>
                <w:szCs w:val="24"/>
                <w:lang w:eastAsia="ru-RU"/>
              </w:rPr>
              <w:instrText>/proiekt-issliedovaniie-sodierzhaniia-nitratov-v-ov_12.png" \* MERGEFORMATINET</w:instrText>
            </w:r>
            <w:r w:rsidR="00542424">
              <w:rPr>
                <w:rFonts w:ascii="Times New Roman" w:eastAsia="Times New Roman" w:hAnsi="Times New Roman"/>
                <w:b/>
                <w:bCs/>
                <w:color w:val="000000"/>
                <w:sz w:val="24"/>
                <w:szCs w:val="24"/>
                <w:lang w:eastAsia="ru-RU"/>
              </w:rPr>
              <w:instrText xml:space="preserve"> </w:instrText>
            </w:r>
            <w:r w:rsidR="00542424">
              <w:rPr>
                <w:rFonts w:ascii="Times New Roman" w:eastAsia="Times New Roman" w:hAnsi="Times New Roman"/>
                <w:b/>
                <w:bCs/>
                <w:color w:val="000000"/>
                <w:sz w:val="24"/>
                <w:szCs w:val="24"/>
                <w:lang w:eastAsia="ru-RU"/>
              </w:rPr>
              <w:fldChar w:fldCharType="separate"/>
            </w:r>
            <w:r w:rsidR="00542424">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542424">
              <w:rPr>
                <w:rFonts w:ascii="Times New Roman" w:eastAsia="Times New Roman" w:hAnsi="Times New Roman"/>
                <w:b/>
                <w:bCs/>
                <w:color w:val="000000"/>
                <w:sz w:val="24"/>
                <w:szCs w:val="24"/>
                <w:lang w:eastAsia="ru-RU"/>
              </w:rPr>
              <w:fldChar w:fldCharType="end"/>
            </w:r>
            <w:r w:rsidR="000D06A8">
              <w:rPr>
                <w:rFonts w:ascii="Times New Roman" w:eastAsia="Times New Roman" w:hAnsi="Times New Roman"/>
                <w:b/>
                <w:bCs/>
                <w:color w:val="000000"/>
                <w:sz w:val="24"/>
                <w:szCs w:val="24"/>
                <w:lang w:eastAsia="ru-RU"/>
              </w:rPr>
              <w:fldChar w:fldCharType="end"/>
            </w:r>
            <w:r w:rsidR="00325F77">
              <w:rPr>
                <w:rFonts w:ascii="Times New Roman" w:eastAsia="Times New Roman" w:hAnsi="Times New Roman"/>
                <w:b/>
                <w:bCs/>
                <w:color w:val="000000"/>
                <w:sz w:val="24"/>
                <w:szCs w:val="24"/>
                <w:lang w:eastAsia="ru-RU"/>
              </w:rPr>
              <w:fldChar w:fldCharType="end"/>
            </w:r>
            <w:r w:rsidR="00D679C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lastRenderedPageBreak/>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"кисело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Lactobacillaceae, которое включает три рода: Streptococcus, Leuconostoc и Lactobacillus. Бактерии рода Lactobacillus для </w:t>
      </w:r>
      <w:r w:rsidRPr="00127C48">
        <w:rPr>
          <w:rFonts w:ascii="Times New Roman" w:eastAsia="Lucida Sans Unicode" w:hAnsi="Times New Roman"/>
        </w:rPr>
        <w:lastRenderedPageBreak/>
        <w:t>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Lactobacillaceae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Натуральное, свежесдоенное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На примере опыта №1 мы увидел, что пастерилизованное молоко  начинает скисать со второго дня эксперимента. Пронаблюдав за процессом в течение 7 дней и зафиксировав изминения.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r w:rsidRPr="00127C48">
        <w:rPr>
          <w:rStyle w:val="c32"/>
          <w:bdr w:val="none" w:sz="0" w:space="0" w:color="auto" w:frame="1"/>
        </w:rPr>
        <w:t>казеи́н</w:t>
      </w:r>
      <w:r w:rsidRPr="00127C48">
        <w:rPr>
          <w:rStyle w:val="c34"/>
          <w:bdr w:val="none" w:sz="0" w:space="0" w:color="auto" w:frame="1"/>
        </w:rPr>
        <w:t> </w:t>
      </w:r>
      <w:r w:rsidRPr="00127C48">
        <w:rPr>
          <w:rStyle w:val="c7"/>
          <w:bdr w:val="none" w:sz="0" w:space="0" w:color="auto" w:frame="1"/>
        </w:rPr>
        <w:t>(лат. caseus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(казеионоген) присутствует в молоке в связанном виде как соль кальция (казеинат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lastRenderedPageBreak/>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lastRenderedPageBreak/>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10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11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Саенко О.Е., Трушина Т.П., Арутюнян О.В. Естествознание: учебное пособие.- 3-е изд., - М.: КНОРУС, 2016. – 368с.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Габриелян О.С.     Естествознание. Химия: учебник / О.С. Габриелян, И.Г. Остроумов. - 5-е изд.,стер.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Самойленко П.И.     Естествознание. Физика: учебник / П.И. Самойленко. - 5-е изд.,стер.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lastRenderedPageBreak/>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307C7"/>
    <w:rsid w:val="00035F51"/>
    <w:rsid w:val="00041471"/>
    <w:rsid w:val="0005121F"/>
    <w:rsid w:val="00084B7E"/>
    <w:rsid w:val="00085DB8"/>
    <w:rsid w:val="000862B1"/>
    <w:rsid w:val="000964E7"/>
    <w:rsid w:val="000A37B2"/>
    <w:rsid w:val="000B06DA"/>
    <w:rsid w:val="000C3968"/>
    <w:rsid w:val="000C3B6A"/>
    <w:rsid w:val="000D06A8"/>
    <w:rsid w:val="000E2CA9"/>
    <w:rsid w:val="000E3290"/>
    <w:rsid w:val="000F7C90"/>
    <w:rsid w:val="00115832"/>
    <w:rsid w:val="00116174"/>
    <w:rsid w:val="00127C48"/>
    <w:rsid w:val="00143B7D"/>
    <w:rsid w:val="00146C6F"/>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D5916"/>
    <w:rsid w:val="002D604E"/>
    <w:rsid w:val="002D7C2F"/>
    <w:rsid w:val="002E0078"/>
    <w:rsid w:val="002F4438"/>
    <w:rsid w:val="00300C8A"/>
    <w:rsid w:val="00325F77"/>
    <w:rsid w:val="00360E40"/>
    <w:rsid w:val="00372F10"/>
    <w:rsid w:val="0037708C"/>
    <w:rsid w:val="00381B66"/>
    <w:rsid w:val="00387EDC"/>
    <w:rsid w:val="00396F40"/>
    <w:rsid w:val="003A30FA"/>
    <w:rsid w:val="003D42D3"/>
    <w:rsid w:val="003D7AA6"/>
    <w:rsid w:val="003F08C0"/>
    <w:rsid w:val="003F08F6"/>
    <w:rsid w:val="003F25A3"/>
    <w:rsid w:val="00403EE7"/>
    <w:rsid w:val="00415CC0"/>
    <w:rsid w:val="004224A0"/>
    <w:rsid w:val="004249CF"/>
    <w:rsid w:val="00440A36"/>
    <w:rsid w:val="00442261"/>
    <w:rsid w:val="0045697E"/>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2424"/>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93AAF"/>
    <w:rsid w:val="00995E6E"/>
    <w:rsid w:val="00997E04"/>
    <w:rsid w:val="009B0B2B"/>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679CA"/>
    <w:rsid w:val="00D927F1"/>
    <w:rsid w:val="00DB225F"/>
    <w:rsid w:val="00DB27A0"/>
    <w:rsid w:val="00DB39C9"/>
    <w:rsid w:val="00DC07A8"/>
    <w:rsid w:val="00DF7A05"/>
    <w:rsid w:val="00E01247"/>
    <w:rsid w:val="00E042E8"/>
    <w:rsid w:val="00E0775E"/>
    <w:rsid w:val="00E30DFF"/>
    <w:rsid w:val="00E462B5"/>
    <w:rsid w:val="00E47ED9"/>
    <w:rsid w:val="00E877BC"/>
    <w:rsid w:val="00E90D14"/>
    <w:rsid w:val="00E97690"/>
    <w:rsid w:val="00EC0A67"/>
    <w:rsid w:val="00EC4C14"/>
    <w:rsid w:val="00ED17DC"/>
    <w:rsid w:val="00ED4E06"/>
    <w:rsid w:val="00EE7324"/>
    <w:rsid w:val="00EF7099"/>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26"/>
        <o:r id="V:Rule9" type="connector" idref="#_x0000_s1030"/>
        <o:r id="V:Rule10" type="connector" idref="#_x0000_s1031"/>
        <o:r id="V:Rule11" type="connector" idref="#_x0000_s1029"/>
        <o:r id="V:Rule12" type="connector" idref="#_x0000_s1162"/>
        <o:r id="V:Rule13" type="connector" idref="#_x0000_s1028"/>
        <o:r id="V:Rule14" type="connector" idref="#_x0000_s1161"/>
      </o:rules>
    </o:shapelayout>
  </w:shapeDefaults>
  <w:decimalSymbol w:val=","/>
  <w:listSeparator w:val=";"/>
  <w14:docId w14:val="290CFB00"/>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62</Pages>
  <Words>17802</Words>
  <Characters>101473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Кондратьева Светлана Петровна</cp:lastModifiedBy>
  <cp:revision>63</cp:revision>
  <cp:lastPrinted>2018-05-17T06:46:00Z</cp:lastPrinted>
  <dcterms:created xsi:type="dcterms:W3CDTF">2011-12-10T09:04:00Z</dcterms:created>
  <dcterms:modified xsi:type="dcterms:W3CDTF">2022-11-23T11:21:00Z</dcterms:modified>
</cp:coreProperties>
</file>