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864AA3" w:rsidRPr="005E4CDE" w:rsidRDefault="005E4CDE" w:rsidP="005E4CDE">
      <w:pPr>
        <w:jc w:val="center"/>
        <w:rPr>
          <w:b/>
        </w:rPr>
      </w:pPr>
      <w:r w:rsidRPr="005E4CDE">
        <w:rPr>
          <w:b/>
        </w:rPr>
        <w:t>43.02.17 Технологии индустрии красоты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1C6E79" w:rsidRDefault="005E4CDE" w:rsidP="00796248">
            <w:pPr>
              <w:tabs>
                <w:tab w:val="left" w:pos="0"/>
              </w:tabs>
              <w:jc w:val="both"/>
            </w:pPr>
            <w:r w:rsidRPr="005E4CDE">
              <w:t>43.02.17 Технологии индустрии красоты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8E377E" w:rsidRPr="005E4CDE" w:rsidRDefault="00796248" w:rsidP="005E4CDE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5E4CDE" w:rsidRPr="005E4CDE">
        <w:t>43.02.17 Технологии индустрии красоты</w:t>
      </w:r>
    </w:p>
    <w:p w:rsidR="00864AA3" w:rsidRDefault="00864AA3" w:rsidP="008E377E">
      <w:pPr>
        <w:spacing w:after="200"/>
        <w:ind w:firstLine="70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1.2. Место </w:t>
      </w:r>
      <w:r w:rsidR="003A5273">
        <w:rPr>
          <w:b/>
          <w:bCs/>
        </w:rPr>
        <w:t>учебного предмета</w:t>
      </w:r>
      <w:r>
        <w:rPr>
          <w:b/>
          <w:bCs/>
        </w:rPr>
        <w:t xml:space="preserve"> в структуре основной профессиональной образовательной программы:</w:t>
      </w:r>
    </w:p>
    <w:p w:rsidR="00864AA3" w:rsidRDefault="00864AA3" w:rsidP="009970AB">
      <w:pPr>
        <w:ind w:firstLine="709"/>
        <w:jc w:val="both"/>
      </w:pPr>
      <w:r>
        <w:t>Учебн</w:t>
      </w:r>
      <w:r w:rsidR="003A5273">
        <w:t>ый</w:t>
      </w:r>
      <w:r>
        <w:t xml:space="preserve"> </w:t>
      </w:r>
      <w:r w:rsidR="003A5273">
        <w:t>предмет</w:t>
      </w:r>
      <w:r>
        <w:t xml:space="preserve"> </w:t>
      </w:r>
      <w:r w:rsidR="007328CA">
        <w:t xml:space="preserve">ДУП.01 </w:t>
      </w:r>
      <w:r>
        <w:t>Родная литература является общеобразовательным предметом.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D5677" w:rsidRPr="0039534D" w:rsidTr="00BD0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DD5677" w:rsidRPr="008B625B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DD5677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77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77" w:rsidRPr="00FC24F5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FDD" w:rsidRPr="0039534D" w:rsidTr="00BD026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731C3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E26FDD" w:rsidRPr="00DD567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DD" w:rsidRPr="00FC24F5" w:rsidRDefault="00E26F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FC24F5" w:rsidRDefault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5677" w:rsidRPr="0039534D" w:rsidTr="00DD567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Pr="005C26CB" w:rsidRDefault="00DD5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25B" w:rsidRPr="0039534D" w:rsidTr="00E26FD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0A5B84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8B625B" w:rsidRPr="00E26FDD" w:rsidRDefault="008B625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3541F8" w:rsidRDefault="008B625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Pr="00FC24F5" w:rsidRDefault="008B625B" w:rsidP="008B625B">
            <w:pPr>
              <w:rPr>
                <w:sz w:val="22"/>
                <w:szCs w:val="20"/>
                <w:lang w:eastAsia="en-US"/>
              </w:rPr>
            </w:pPr>
          </w:p>
        </w:tc>
      </w:tr>
      <w:tr w:rsidR="00E26FDD" w:rsidRPr="0039534D" w:rsidTr="00FC24F5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D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E26FDD" w:rsidRPr="003541F8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E26FDD" w:rsidRPr="00E26FDD" w:rsidRDefault="00E26FDD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C24F5" w:rsidRDefault="00BD026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DD" w:rsidRPr="00FC24F5" w:rsidRDefault="00FC24F5" w:rsidP="00FC24F5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1,2</w:t>
            </w: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Pr="005C26CB" w:rsidRDefault="008B625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26C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5C26CB" w:rsidRPr="008B625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8B625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Pr="00FC24F5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26CB" w:rsidRPr="00FC24F5" w:rsidRDefault="005C26C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5C26CB" w:rsidRPr="00FC24F5" w:rsidRDefault="005C26C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Pr="00FC24F5" w:rsidRDefault="005C26CB" w:rsidP="008A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5C26CB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E26FDD" w:rsidRDefault="005C26C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Default="005C26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892F2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892F25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892F25" w:rsidRDefault="00892F25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0A5B84" w:rsidRDefault="000A5B84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0A5B84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3A3283" w:rsidRPr="003541F8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DD5677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ED5568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3A3283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FB2F57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 w:rsidR="00FC24F5"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ED5568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B2F5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B2F57" w:rsidRDefault="00FB2F57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654E7" w:rsidRDefault="00C654E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ED5568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143B71" w:rsidRDefault="00143B71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ED5568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F95C4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95C47" w:rsidRDefault="00F95C47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0D5E17" w:rsidRPr="00F95C4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0D5E17" w:rsidRP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2" w:rsidRPr="003541F8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0D5E17" w:rsidRPr="00C26262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8B067E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2684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0D5E17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B31C6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31C69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B31C69" w:rsidRDefault="00B31C69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1,2</w:t>
            </w: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3D4292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840203" w:rsidRPr="003541F8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0D5E17" w:rsidRDefault="0084020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840203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840203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840203" w:rsidRP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A95D1A" w:rsidRPr="003541F8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0D5E17" w:rsidRDefault="00A95D1A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A95D1A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A95D1A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A95D1A" w:rsidRDefault="00A95D1A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21A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9417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417C" w:rsidRPr="0039534D" w:rsidTr="0056462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0D5E17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4B62D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4B62D8" w:rsidRDefault="004B62D8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E76894" w:rsidRDefault="00E21B88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0D5E17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21B8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F8626C" w:rsidRPr="00E21B88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F8626C" w:rsidRPr="000D5E17" w:rsidRDefault="00F8626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0D5E17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6C" w:rsidRPr="000D5E17" w:rsidRDefault="00F8626C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F8626C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E76894" w:rsidRPr="003541F8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F8626C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3541F8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694BC9" w:rsidRPr="00694BC9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A0265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41F8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4609A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8F55B2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8F55B2" w:rsidRPr="008F55B2" w:rsidRDefault="008F55B2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FD37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6175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D937A2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CF61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CF6143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CF6143" w:rsidRP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37076D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E21B88" w:rsidRDefault="00B35E20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Default="00B35E20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B02F54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  <w:r>
        <w:t xml:space="preserve">1.Чувашская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B41991" w:rsidP="00B41991">
      <w:pPr>
        <w:jc w:val="both"/>
      </w:pPr>
      <w:r>
        <w:t xml:space="preserve">составом учащихся и русских школ. В 3-х ч. Ч. 3 / автор-сост. В. Н. Пушкин. - Чебоксары: </w:t>
      </w:r>
      <w:proofErr w:type="spellStart"/>
      <w:r>
        <w:t>Чуваш.кн</w:t>
      </w:r>
      <w:proofErr w:type="spellEnd"/>
      <w:r>
        <w:t>. изд-во, 2001. - 383 с.</w:t>
      </w:r>
    </w:p>
    <w:p w:rsidR="00B41991" w:rsidRDefault="00B41991" w:rsidP="00B41991">
      <w:pPr>
        <w:jc w:val="both"/>
      </w:pPr>
      <w:r>
        <w:t xml:space="preserve">2.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  <w:r>
        <w:t xml:space="preserve">3. Чувашская </w:t>
      </w:r>
      <w:proofErr w:type="gramStart"/>
      <w:r>
        <w:t>литература :</w:t>
      </w:r>
      <w:proofErr w:type="gramEnd"/>
      <w:r>
        <w:t xml:space="preserve"> хрестоматия для 11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5E4CDE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34141"/>
    <w:rsid w:val="00981E73"/>
    <w:rsid w:val="009844EF"/>
    <w:rsid w:val="009970AB"/>
    <w:rsid w:val="00A0788E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21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70</cp:revision>
  <cp:lastPrinted>2024-01-26T14:29:00Z</cp:lastPrinted>
  <dcterms:created xsi:type="dcterms:W3CDTF">2019-11-06T14:21:00Z</dcterms:created>
  <dcterms:modified xsi:type="dcterms:W3CDTF">2024-09-16T07:28:00Z</dcterms:modified>
</cp:coreProperties>
</file>