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FD" w:rsidRPr="00C35DFD" w:rsidRDefault="00C35DFD" w:rsidP="00B53317">
      <w:pPr>
        <w:shd w:val="clear" w:color="auto" w:fill="FFFFFF"/>
        <w:spacing w:after="0" w:line="240" w:lineRule="auto"/>
        <w:ind w:left="-426" w:right="-142" w:firstLine="852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36"/>
          <w:szCs w:val="36"/>
          <w:lang w:eastAsia="ru-RU"/>
        </w:rPr>
      </w:pPr>
      <w:r w:rsidRPr="00C35DFD">
        <w:rPr>
          <w:rFonts w:ascii="Arial" w:eastAsia="Times New Roman" w:hAnsi="Arial" w:cs="Arial"/>
          <w:b/>
          <w:bCs/>
          <w:color w:val="2D2D2D"/>
          <w:spacing w:val="2"/>
          <w:kern w:val="36"/>
          <w:sz w:val="36"/>
          <w:szCs w:val="36"/>
          <w:lang w:eastAsia="ru-RU"/>
        </w:rPr>
        <w:t>Об утверждении Положения о подготовке граждан Российской Федерации к военной службе</w:t>
      </w:r>
      <w:r w:rsidR="00B53317">
        <w:rPr>
          <w:rFonts w:ascii="Arial" w:eastAsia="Times New Roman" w:hAnsi="Arial" w:cs="Arial"/>
          <w:b/>
          <w:bCs/>
          <w:color w:val="2D2D2D"/>
          <w:spacing w:val="2"/>
          <w:kern w:val="36"/>
          <w:sz w:val="36"/>
          <w:szCs w:val="36"/>
          <w:lang w:eastAsia="ru-RU"/>
        </w:rPr>
        <w:t xml:space="preserve">             </w:t>
      </w:r>
      <w:bookmarkStart w:id="0" w:name="_GoBack"/>
      <w:bookmarkEnd w:id="0"/>
      <w:r w:rsidRPr="00C35DFD">
        <w:rPr>
          <w:rFonts w:ascii="Arial" w:eastAsia="Times New Roman" w:hAnsi="Arial" w:cs="Arial"/>
          <w:b/>
          <w:bCs/>
          <w:color w:val="2D2D2D"/>
          <w:spacing w:val="2"/>
          <w:kern w:val="36"/>
          <w:sz w:val="36"/>
          <w:szCs w:val="36"/>
          <w:lang w:eastAsia="ru-RU"/>
        </w:rPr>
        <w:t xml:space="preserve"> (с изменениями на 19 декабря 2018 года)</w:t>
      </w:r>
    </w:p>
    <w:p w:rsidR="00C35DFD" w:rsidRPr="00C35DFD" w:rsidRDefault="00C35DFD" w:rsidP="00B53317">
      <w:pPr>
        <w:shd w:val="clear" w:color="auto" w:fill="FFFFFF"/>
        <w:spacing w:after="0" w:line="288" w:lineRule="atLeast"/>
        <w:ind w:left="-426" w:right="-142" w:firstLine="852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35DFD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ПРАВИТЕЛЬСТВО РОССИЙСКОЙ ФЕДЕРАЦИИ</w:t>
      </w:r>
    </w:p>
    <w:p w:rsidR="00C35DFD" w:rsidRPr="00C35DFD" w:rsidRDefault="00C35DFD" w:rsidP="00B53317">
      <w:pPr>
        <w:shd w:val="clear" w:color="auto" w:fill="FFFFFF"/>
        <w:spacing w:after="0" w:line="288" w:lineRule="atLeast"/>
        <w:ind w:left="-426" w:right="-142" w:firstLine="852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35DFD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ПОСТАНОВЛЕНИЕ</w:t>
      </w:r>
    </w:p>
    <w:p w:rsidR="00C35DFD" w:rsidRPr="00C35DFD" w:rsidRDefault="00C35DFD" w:rsidP="00B53317">
      <w:pPr>
        <w:shd w:val="clear" w:color="auto" w:fill="FFFFFF"/>
        <w:spacing w:after="0" w:line="288" w:lineRule="atLeast"/>
        <w:ind w:left="-426" w:right="-142" w:firstLine="852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35DFD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31 декабря 1999 года N 1441</w:t>
      </w:r>
    </w:p>
    <w:p w:rsidR="00C35DFD" w:rsidRPr="00C35DFD" w:rsidRDefault="00C35DFD" w:rsidP="00B53317">
      <w:pPr>
        <w:shd w:val="clear" w:color="auto" w:fill="FFFFFF"/>
        <w:spacing w:before="150" w:after="75" w:line="288" w:lineRule="atLeast"/>
        <w:ind w:left="-426" w:right="-142" w:firstLine="852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35DFD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утверждении Положения о подготовке граждан Российской Федерации к военной службе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19 декабря 2018 года)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____________________________________________________________________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 с изменениями, внесенными: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15 июня 2009 года N 481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(Собрание законодательства Российской Федерации, N 25, 22.06.2009);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30.12.2014, N 0001201412300056);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7" w:history="1">
        <w:proofErr w:type="gramStart"/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29 декабря 2016 года N 1540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30.12.2016, N 0001201612300106) (вступило в силу с 1 января 2017 года);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 декабря 2018 года N 1586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интернет-портал правовой информации www.pravo.gov.ru, 21.12.2018, N 0001201812210016).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соответствии со </w:t>
      </w:r>
      <w:hyperlink r:id="rId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статьями 11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и </w:t>
      </w:r>
      <w:hyperlink r:id="rId1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17 Федерального закона "О воинской обязанности и военной службе"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Правительство Российской Федерации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постановляет: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Утвердить прилагаемое Положение о подготовке граждан Российской Федерации к военной службе.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Министерству обороны Российской Федерации принять необходимые нормативные правовые акты, регулирующие вопросы подготовки граждан Российской Федерации к военной службе.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Председатель Правительства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spell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В.Путин</w:t>
      </w:r>
      <w:proofErr w:type="spell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ПОЛОЖЕНИЕ о подготовке граждан Российской Федерации к военной службе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УТВЕРЖДЕНО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постановлением Правительства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31 декабря 1999 года N 1441</w:t>
      </w:r>
    </w:p>
    <w:p w:rsid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19 декабря 2018 года)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C35DFD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I. Общие положения</w:t>
      </w:r>
    </w:p>
    <w:p w:rsid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Подготовка граждан Российской Федерации (далее именуются - граждане) к военной службе организуется в соответствии с </w:t>
      </w:r>
      <w:hyperlink r:id="rId1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федеральными законами "Об обороне"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 </w:t>
      </w:r>
      <w:hyperlink r:id="rId1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"О воинской обязанности и военной службе"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"</w:t>
      </w:r>
      <w:hyperlink r:id="rId1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Об образовании в Российской Федерации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", настоящим Положением и иными нормативными правовыми актами.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(Абзац в редакции, введенной в действие с 7 января 2015 года </w:t>
      </w:r>
      <w:hyperlink r:id="rId1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1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Подготовка граждан к военной службе предусматривает обязательную и добровольную подготовку.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Финансирование подготовки граждан к военной службе осуществляется за счет средств федерального бюджета.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C35DFD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II. Порядок обязательной подготовки граждан к военной службе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Обязательная подготовка граждан к военной службе предусматривает: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получение начальных знаний в области обороны;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б) 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 (далее именуются - учебные пункты);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1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1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в) военно-патриотическое воспитание;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г) подготовку по военно-учетным специальностям солдат, матросов, сержантов и старшин по направлению военного комиссариата;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д) медицинское освидетельствование и медицинское обследование;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е) проведение лечебно-оздоровительных мероприятий.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3.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Получение начальных знаний об обороне, включая приобретение навыков в области гражданской обороны, осуществляется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пунктах. *3)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1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1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Граждане мужского пола получают начальные знания в области обороны в соответствии с примерной программой обучения, согласованной с Министерством обороны Российской Федерации.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Подготовка по основам военной службы предусматривается для граждан мужского пола и проводится в  образовательных организациях в рамках освоения образовательной программы среднего общего образования или среднего профессионального образования  в течение последних 2 лет обучения и в учебных пунктах.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(Абзац в редакции, введенной в действие с 7 января 2015 года </w:t>
      </w:r>
      <w:hyperlink r:id="rId2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2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учебных пунктах подготовку по основам военной службы проходят по направлению военных комиссариатов граждане, достигшие 16-летнего возраста, не обучающиеся в образовательных организациях и не работающие в организациях.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7 января 2015 года </w:t>
      </w:r>
      <w:hyperlink r:id="rId2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2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 Подготовка граждан по основам военной службы проводится в соответствии с федеральными государственными образовательными стандартами (пункт в редакции </w:t>
      </w:r>
      <w:hyperlink r:id="rId2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постановления Правительства Российской Федерации от 15 июня 2009 года N 481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- см. </w:t>
      </w:r>
      <w:hyperlink r:id="rId2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7. Подбор преподавателей, проводящих подготовку граждан по основам военной службы, осуществляется, как правило, из числа офицеров, пребывающих в запасе, имеющих  высшее образование или среднее профессиональное образование по программам подготовки специалистов среднего звена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,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а также выпускников военных кафедр педагогических  образовательных организаций высшего образования , обладающих необходимыми знаниями и высокими морально-деловыми качествами.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(Абзац в редакции, введенной в действие с 7 января 2015 года </w:t>
      </w:r>
      <w:hyperlink r:id="rId2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2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 невозможности заместить штатную должность преподавателя лицом, имеющим звание офицера и пребывающим в запасе, разрешается, в виде исключения, назначать на эту должность пребывающих в запасе прапорщиков, мичманов, сержантов, старшин, солдат или матросов, имеющих  высшее образование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или среднее профессиональное образование по программам подготовки специалистов среднего звена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.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7 января 2015 года </w:t>
      </w:r>
      <w:hyperlink r:id="rId2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2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8.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Учебные пункты создаются по решению главы органа местного самоуправления на базе одной организации, насчитывающей не менее 20 граждан, подлежащих призыву на военную службу и не прошедших подготовку по основам военной службы, или нескольких организаций (объединенные районные или городские учебные пункты).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Ответственность за организацию учебных пунктов возлагается на руководителей организаций, на базе которых они создаются.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9. Оценка знаний граждан, обучающихся основам военной службы в учебных пунктах, осуществляется путем проведения зачетов. Для приема зачетов в организации создается комиссия в составе представителя органа местного самоуправления (председатель комиссии), представителей соответствующего военного комиссариата и территориальных органов, осуществляющих управление гражданской обороной.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 окончании обучения основам военной службы гражданам вручаются соответствующие справки о прохождении подготовки.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10. Списки граждан, прошедших подготовку в учебных пунктах, с результатами сдачи зачетов по основам военной службы направляются в военные комиссариаты по месту воинского учета граждан. Сотрудники военных комиссариатов делают соответствующие записи в учетных картах призывников и удостоверениях граждан, подлежащих призыву на военную службу.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11. Занятия в учебных пунктах проводятся 2-3 раза в неделю по 2-3 часа. Для проведения занятий по основам военной службы в учебном пункте оборудуется специальный кабинет. Кроме того, в учебном пункте необходимо наличие военного имущества, общевоинских уставов, учебных пособий и другого имущества.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12. Организации, на базе которых созданы учебные пункты, обеспечивают указанные пункты помещениями, мебелью, учебной техникой и необходимыми финансовыми средствами.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13. Территориальные органы, осуществляющие управление гражданской обороной на территории субъектов Российской Федерации и на территориях, отнесенных к группам по гражданской обороне, предоставляют военным комиссариатам имеющиеся у них классы, принимают участие в проведении занятий по основам военной службы.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14.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Руководитель организации, на базе которой создается учебный пункт, в том числе объединенный, по согласованию с органом местного самоуправления, соответствующим военным комиссариатом, территориальным органом, осуществляющим управление гражданской обороной, назначает из числа пребывающих в запасе офицеров, прапорщиков, мичманов, сержантов и старшин, работающих в организации, нештатного начальника учебного пункта, его заместителя по воспитательной работе и инструктора-преподавателя основ военной службы.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15. Обязанности должностных лиц учебного пункта определяются Министерством обороны Российской Федерации.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16. С гражданами женского пола в  общеобразовательных организациях и профессиональных образовательных организациях проводятся отдельно от граждан мужского пола занятия по углубленному изучению основ медицинских знаний.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(Абзац в редакции, введенной в действие с 7 января 2015 года </w:t>
      </w:r>
      <w:hyperlink r:id="rId3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3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Подбор преподавателей для проведения занятий по основам медицинских знаний осуществляется руководителями образовательных организаций совместно с органами здравоохранения из числа подготовленных медицинских работников, а также преподавателей, прошедших обучение по программе подготовки медицинских сестер.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7 января 2015 года </w:t>
      </w:r>
      <w:hyperlink r:id="rId3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3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17. Порядок организации и проведения учебных сборов определяется совместными нормативными правовыми актами Министерства обороны Российской Федерации и Министерства просвещения Российской Федерации.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7 января 2015 года </w:t>
      </w:r>
      <w:hyperlink r:id="rId3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29 декабря 2018 года </w:t>
      </w:r>
      <w:hyperlink r:id="rId3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 декабря 2018 года N 1586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3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18.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Военно-патриотическое воспитание, являющееся составной частью обязательной подготовки граждан к военной службе, организуется органами исполнительной власти субъектов Российской Федерации и органами местного самоуправления совместно с Министерством обороны Российской Федерации и федеральными органами исполнительной власти (федеральными государственными органами), в которых законом предусмотрена военная служба, и проводится в  общеобразовательных организациях, реализующих образовательные программы основного общего и среднего общего образования, профессиональных образовательных организациях и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образовательных организациях высшего образования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,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в учебных пунктах, а также военно-патриотических молодежных и детских объединениях.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3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1 января 2017 года </w:t>
      </w:r>
      <w:hyperlink r:id="rId3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29 декабря 2016 года N 1540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3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19. В военно-патриотическом воспитании граждан могут принимать участие общественные и религиозные объединения, деятельность которых разрешена на территории Российской Федерации.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20.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Подготовка граждан по военно-учетным специальностям солдат, матросов, сержантов и старшин (далее именуются - военно-учетные специальности) проводится в общественных объединениях и  профессиональных образовательных организациях . *20)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4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4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21. Для реализации уставных задач общественные объединения могут создавать в установленном порядке образовательные организации, в которых подготовка граждан по военно-учетным специальностям является составной частью образовательной программы среднего профессионального образования (далее именуются - образовательные организации общественных объединений).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4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4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22. Подготовка по военно-учетным специальностям предусматривается для граждан мужского пола, достигших 17-летнего возраста, подлежащих призыву на военную службу и 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годных к военной службе по состоянию здоровья, физическому развитию, моральным качествам и  уровню образования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.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При отборе граждан учитывается их гражданская специальность. Морские, технические и радиотехнические образовательные организации общественных объединений комплектуются в первую очередь.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4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4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23. Отбор и направление граждан в  образовательные организации  общественных объединений,  профессиональные образовательные организации  для подготовки по военно-учетным специальностям, комплектование учебных групп, проходящих обучение в  образовательных организациях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,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осуществляются военными комиссариатами в порядке, определяемом Министерством обороны Российской Федерации.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4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4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24. Обязанности должностных лиц общественных объединений и  образовательных организаций  общественных объединений по осуществлению подготовки граждан по военно-учетным специальностям определяются в порядке, установленном уставами общественных объединений.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4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4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25. Министерство обороны Российской Федерации: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ежегодно определяет количество граждан, проходящих подготовку по военно-учетным специальностям, и в соответствии с этим заключает с общественными объединениями договоры о подготовке граждан по военно-учетным специальностям;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б) определяет порядок обеспечения вооружением, техникой и имуществом  образовательных организаций  общественных объединений и  профессиональных образовательных организаций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,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осуществляющих подготовку граждан по военно-учетным специальностям;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5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5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в) утверждает программы подготовки граждан по военно-учетным специальностям;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г) контролирует выполнение Министерством просвещения Российской Федерации установленных заданий по подготовке граждан по военно-учетным специальностям, выполнение заключенных с общественными объединениями договоров, а также качество подготовки граждан.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5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29 декабря 2018 года </w:t>
      </w:r>
      <w:hyperlink r:id="rId5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 декабря 2018 года N 1586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5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26. Министерство просвещения Российской Федерации: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7 января 2015 года </w:t>
      </w:r>
      <w:hyperlink r:id="rId5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29 декабря 2018 года </w:t>
      </w:r>
      <w:hyperlink r:id="rId5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 декабря 2018 года N 1586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5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организует выполнение  профессиональными образовательными организациями  утвержденных программ подготовки граждан по военно-учетным специальностям, контролирует ход этой подготовки;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5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5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б) по согласованию с Министерством обороны Российской Федерации разрабатывает табели снабжения  профессиональных образовательных организаций  вооружением, техникой и имуществом, программы подготовки граждан по военно-учетным специальностям;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6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6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в) ежегодно, до 20 апреля, представляет в Министерство обороны Российской Федерации перечень профессиональных образовательных организаций с указанием их возможностей в подготовке граждан по военно-учетным специальностям;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6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6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г) разрабатывает бланки удостоверений и свидетельств о получении военно-учетных специальностей;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д) организует централизованное обеспечение профессиональных образовательных организаций наглядными пособиями по программам подготовки граждан по военно-учетным специальностям.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6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6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27. Органы исполнительной власти субъектов Российской Федерации и органы местного самоуправления: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организуют и обеспечивают проведение подготовки граждан по военно-учетным специальностям;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б) участвуют в отборе кандидатов из числа граждан, подлежащих призыву на военную службу, для подготовки по военно-учетным специальностям;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в) совместно с соответствующими военными комиссариатами участвуют в разработке проектов постановлений (решений) руководителей органов исполнительной власти субъектов Российской Федерации и органов местного самоуправления, в которых анализируется состояние подготовки граждан к военной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службе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и определяются мероприятия по обеспечению посещаемости занятий гражданами, по организации их размещения, питания, перевозки к месту учебы и обратно и трудоустройству по полученной военно-учетной специальности, а также определяется порядок привлечения граждан, подлежащих призыву на военную службу, к обучению (с отрывом или без отрыва от производства);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г) организуют и проводят учебно-методические сборы для руководящего состава и преподавателей  профессиональных образовательных организаций  по вопросам подготовки граждан к военной службе;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6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6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д) ежегодно, к 10 апреля, представляют в  Министерство просвещения Российской Федерации  сведения о возможностях  профессиональных образовательных организаций  в подготовке граждан по военно-учетным специальностям;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6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29 декабря 2018 года </w:t>
      </w:r>
      <w:hyperlink r:id="rId6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 декабря 2018 года N 1586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7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е) осуществляют контроль за состоянием учебно-материальной базы  профессиональных образовательных организаций  и ежегодно, до 15 ноября, проводят инвентаризацию вооружения, техники и имущества, переданных указанным образовательным организациям в оперативное управление;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(Подпункт в редакции, введенной в действие с 7 января 2015 года </w:t>
      </w:r>
      <w:hyperlink r:id="rId7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7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ж) представляют в органы военного управления заявки на получение, ремонт и списание вооружения, техники и имущества, необходимых для подготовки граждан по военно-учетным специальностям.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28. Лечебно-оздоровительные мероприятия и обследования (наблюдения) организуются в порядке, устанавливаемом органами военного управления и медицинскими учреждениями государственной и муниципальной систем здравоохранения, и проводятся во взаимодействии с военными комиссариатами под руководством органов исполнительной власти субъектов Российской Федерации и органов местного самоуправления. *28)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29. Лечебно-оздоровительные мероприятия включают в себя: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проведение ежегодных профилактических медицинских осмотров, лечения, диспансерного наблюдения за состоянием здоровья и физическим развитием граждан до их первоначальной постановки на воинский учет;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б) проведение профилактических медицинских осмотров и иных мероприятий после первоначальной постановки граждан на воинский учет, а также после признания граждан при призыве на военную службу временно не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годными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к военной службе.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30.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Контроль за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организацией и проведением лечебно-оздоровительных мероприятий в отношении граждан, подлежащих призыву на военную службу, возлагается на территориальные органы управления здравоохранением, военные комиссариаты и органы военно-врачебной экспертизы.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31. Органы исполнительной власти субъектов Российской Федерации, органы местного самоуправления, органы военного управления, руководители организаций обязаны оказывать содействие и помощь органам здравоохранения в организации и проведении лечебно-оздоровительных мероприятий в отношении граждан, подлежащих призыву на военную службу.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32. Органы здравоохранения совместно с органами военного управления: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ежегодно, до 1 сентября, разрабатывают план лечебно-оздоровительных мероприятий и представляют его руководителю органа местного самоуправления для утверждения;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б) обеспечивают своевременное, качественное и всестороннее обследование, лечение и диспансерное наблюдение граждан, подлежащих призыву на военную службу;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в) обобщают и анализируют результаты лечебно-оздоровительных мероприятий и ежегодно информируют о них руководителя органа местного самоуправления;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г) рассматривают на коллегиях, медицинских советах (конференциях) результаты лечебно-оздоровительных мероприятий и разрабатывают предложения по их совершенствованию;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д) периодически информируют общественность о состоянии здоровья граждан, подлежащих призыву на военную службу;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е) организуют и проводят мероприятия по санитарно-гигиеническому просвещению граждан, подлежащих призыву на военную службу.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III. Добровольная подготовка граждан к военной службе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33. Добровольная подготовка граждан к военной службе предусматривает: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а) занятие военно-прикладными видами спорта;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б) обучение по дополнительным общеразвивающим образовательным программам, имеющим целью подготовку несовершеннолетних обучающихся к военной или иной государственной службе, в общеобразовательных организациях, профессиональных образовательных организациях, а также в военных оркестрах Вооруженных Сил Российской Федерации, других войск, воинских формирований и органов;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73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постановлением </w:t>
        </w:r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lastRenderedPageBreak/>
          <w:t>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74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в) обучение на военной кафедре при федеральной государственной образовательной организации высшего образования по программе военной подготовки офицеров запаса, программе военной подготовки сержантов, старшин запаса либо программе военной подготовки солдат, матросов запаса;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75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76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  <w:proofErr w:type="gramEnd"/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г) подготовку по основам военной службы в  общеобразовательных организациях, реализующих образовательные программы среднего общего образования, профессиональных образовательных организациях  граждан женского пола, годных по состоянию здоровья к военной службе.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7 января 2015 года </w:t>
      </w:r>
      <w:hyperlink r:id="rId77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78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34. Занятия граждан военно-прикладными видами спорта организуются в соответствии с </w:t>
      </w:r>
      <w:hyperlink r:id="rId79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"О физической культуре и спорте в Российской Федерации"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и иными нормативными правовыми актами.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35.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Обучение по дополнительным общеразвивающим программам, имеющим целью подготовку несовершеннолетних граждан к военной или иной государственной службе, в общеобразовательных организациях, профессиональных образовательных организациях осуществляется в порядке, установленном </w:t>
      </w:r>
      <w:hyperlink r:id="rId80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"Об образовании в Российской Федерации"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Обучение по дополнительным общеразвивающим программам и дополнительным предпрофессиональным программам, имеющим целью подготовку несовершеннолетних граждан к военной службе, осуществляется также в военных оркестрах в порядке, установленном Федеральным законом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"О военной обязанности и военной службе".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Несовершеннолетние граждане-сироты, а также несовершеннолетние граждане, оставшиеся без попечения родителей, поступающие в военные оркестры, зачисляются в них без экзаменов по результатам собеседования и медицинского освидетельствования.</w:t>
      </w: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7 января 2015 года </w:t>
      </w:r>
      <w:hyperlink r:id="rId81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24 декабря 2014 года N 1469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 См. </w:t>
      </w:r>
      <w:hyperlink r:id="rId82" w:history="1">
        <w:r w:rsidRPr="00C35DFD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36. К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обучению по программам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подготовки офицеров запаса привлекаются граждане, годные по состоянию здоровья к военной службе, заключившие с Министерством обороны Российской Федерации контракт на обучение по программе подготовки офицеров запаса и на прохождение военной службы по призыву после получения воинского звания офицера.</w:t>
      </w:r>
    </w:p>
    <w:p w:rsidR="00C35DFD" w:rsidRPr="00C35DFD" w:rsidRDefault="00C35DFD" w:rsidP="00B53317">
      <w:pPr>
        <w:shd w:val="clear" w:color="auto" w:fill="FFFFFF"/>
        <w:spacing w:after="0" w:line="315" w:lineRule="atLeast"/>
        <w:ind w:left="-426" w:right="-142" w:firstLine="852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Подготовка граждан по программам подготовки офицеров запаса проводится </w:t>
      </w:r>
      <w:proofErr w:type="gramStart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соответствии с Положением об обучении граждан Российской Федерации по программам подготовки офицеров запаса на военных кафедрах</w:t>
      </w:r>
      <w:proofErr w:type="gramEnd"/>
      <w:r w:rsidRPr="00C35DFD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при государственных, муниципальных или имеющих государственную аккредитацию по соответствующим направлениям подготовки (специальностям) негосударственных образовательных учреждениях высшего профессионального образования.</w:t>
      </w:r>
    </w:p>
    <w:p w:rsidR="00BA10D8" w:rsidRDefault="00BA10D8" w:rsidP="00C35DFD">
      <w:pPr>
        <w:ind w:firstLine="709"/>
        <w:jc w:val="both"/>
      </w:pPr>
    </w:p>
    <w:sectPr w:rsidR="00BA10D8" w:rsidSect="00B53317">
      <w:pgSz w:w="11906" w:h="16838"/>
      <w:pgMar w:top="284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FD"/>
    <w:rsid w:val="00B53317"/>
    <w:rsid w:val="00BA10D8"/>
    <w:rsid w:val="00C3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31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317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31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317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2389617" TargetMode="External"/><Relationship Id="rId18" Type="http://schemas.openxmlformats.org/officeDocument/2006/relationships/hyperlink" Target="http://docs.cntd.ru/document/420243558" TargetMode="External"/><Relationship Id="rId26" Type="http://schemas.openxmlformats.org/officeDocument/2006/relationships/hyperlink" Target="http://docs.cntd.ru/document/420243558" TargetMode="External"/><Relationship Id="rId39" Type="http://schemas.openxmlformats.org/officeDocument/2006/relationships/hyperlink" Target="http://docs.cntd.ru/document/420388853" TargetMode="External"/><Relationship Id="rId21" Type="http://schemas.openxmlformats.org/officeDocument/2006/relationships/hyperlink" Target="http://docs.cntd.ru/document/420247252" TargetMode="External"/><Relationship Id="rId34" Type="http://schemas.openxmlformats.org/officeDocument/2006/relationships/hyperlink" Target="http://docs.cntd.ru/document/420243558" TargetMode="External"/><Relationship Id="rId42" Type="http://schemas.openxmlformats.org/officeDocument/2006/relationships/hyperlink" Target="http://docs.cntd.ru/document/420243558" TargetMode="External"/><Relationship Id="rId47" Type="http://schemas.openxmlformats.org/officeDocument/2006/relationships/hyperlink" Target="http://docs.cntd.ru/document/420247252" TargetMode="External"/><Relationship Id="rId50" Type="http://schemas.openxmlformats.org/officeDocument/2006/relationships/hyperlink" Target="http://docs.cntd.ru/document/420243558" TargetMode="External"/><Relationship Id="rId55" Type="http://schemas.openxmlformats.org/officeDocument/2006/relationships/hyperlink" Target="http://docs.cntd.ru/document/420243558" TargetMode="External"/><Relationship Id="rId63" Type="http://schemas.openxmlformats.org/officeDocument/2006/relationships/hyperlink" Target="http://docs.cntd.ru/document/420247252" TargetMode="External"/><Relationship Id="rId68" Type="http://schemas.openxmlformats.org/officeDocument/2006/relationships/hyperlink" Target="http://docs.cntd.ru/document/420243558" TargetMode="External"/><Relationship Id="rId76" Type="http://schemas.openxmlformats.org/officeDocument/2006/relationships/hyperlink" Target="http://docs.cntd.ru/document/420247252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docs.cntd.ru/document/420388021" TargetMode="External"/><Relationship Id="rId71" Type="http://schemas.openxmlformats.org/officeDocument/2006/relationships/hyperlink" Target="http://docs.cntd.ru/document/42024355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ocs.cntd.ru/document/420243558" TargetMode="External"/><Relationship Id="rId29" Type="http://schemas.openxmlformats.org/officeDocument/2006/relationships/hyperlink" Target="http://docs.cntd.ru/document/420247252" TargetMode="External"/><Relationship Id="rId11" Type="http://schemas.openxmlformats.org/officeDocument/2006/relationships/hyperlink" Target="http://docs.cntd.ru/document/9020348" TargetMode="External"/><Relationship Id="rId24" Type="http://schemas.openxmlformats.org/officeDocument/2006/relationships/hyperlink" Target="http://docs.cntd.ru/document/902161706" TargetMode="External"/><Relationship Id="rId32" Type="http://schemas.openxmlformats.org/officeDocument/2006/relationships/hyperlink" Target="http://docs.cntd.ru/document/420243558" TargetMode="External"/><Relationship Id="rId37" Type="http://schemas.openxmlformats.org/officeDocument/2006/relationships/hyperlink" Target="http://docs.cntd.ru/document/420243558" TargetMode="External"/><Relationship Id="rId40" Type="http://schemas.openxmlformats.org/officeDocument/2006/relationships/hyperlink" Target="http://docs.cntd.ru/document/420243558" TargetMode="External"/><Relationship Id="rId45" Type="http://schemas.openxmlformats.org/officeDocument/2006/relationships/hyperlink" Target="http://docs.cntd.ru/document/420247252" TargetMode="External"/><Relationship Id="rId53" Type="http://schemas.openxmlformats.org/officeDocument/2006/relationships/hyperlink" Target="http://docs.cntd.ru/document/551995286" TargetMode="External"/><Relationship Id="rId58" Type="http://schemas.openxmlformats.org/officeDocument/2006/relationships/hyperlink" Target="http://docs.cntd.ru/document/420243558" TargetMode="External"/><Relationship Id="rId66" Type="http://schemas.openxmlformats.org/officeDocument/2006/relationships/hyperlink" Target="http://docs.cntd.ru/document/420243558" TargetMode="External"/><Relationship Id="rId74" Type="http://schemas.openxmlformats.org/officeDocument/2006/relationships/hyperlink" Target="http://docs.cntd.ru/document/420247252" TargetMode="External"/><Relationship Id="rId79" Type="http://schemas.openxmlformats.org/officeDocument/2006/relationships/hyperlink" Target="http://docs.cntd.ru/document/901732261" TargetMode="External"/><Relationship Id="rId5" Type="http://schemas.openxmlformats.org/officeDocument/2006/relationships/hyperlink" Target="http://docs.cntd.ru/document/902161706" TargetMode="External"/><Relationship Id="rId61" Type="http://schemas.openxmlformats.org/officeDocument/2006/relationships/hyperlink" Target="http://docs.cntd.ru/document/420247252" TargetMode="External"/><Relationship Id="rId82" Type="http://schemas.openxmlformats.org/officeDocument/2006/relationships/hyperlink" Target="http://docs.cntd.ru/document/420247252" TargetMode="External"/><Relationship Id="rId10" Type="http://schemas.openxmlformats.org/officeDocument/2006/relationships/hyperlink" Target="http://docs.cntd.ru/document/901704754" TargetMode="External"/><Relationship Id="rId19" Type="http://schemas.openxmlformats.org/officeDocument/2006/relationships/hyperlink" Target="http://docs.cntd.ru/document/420247252" TargetMode="External"/><Relationship Id="rId31" Type="http://schemas.openxmlformats.org/officeDocument/2006/relationships/hyperlink" Target="http://docs.cntd.ru/document/420247252" TargetMode="External"/><Relationship Id="rId44" Type="http://schemas.openxmlformats.org/officeDocument/2006/relationships/hyperlink" Target="http://docs.cntd.ru/document/420243558" TargetMode="External"/><Relationship Id="rId52" Type="http://schemas.openxmlformats.org/officeDocument/2006/relationships/hyperlink" Target="http://docs.cntd.ru/document/420243558" TargetMode="External"/><Relationship Id="rId60" Type="http://schemas.openxmlformats.org/officeDocument/2006/relationships/hyperlink" Target="http://docs.cntd.ru/document/420243558" TargetMode="External"/><Relationship Id="rId65" Type="http://schemas.openxmlformats.org/officeDocument/2006/relationships/hyperlink" Target="http://docs.cntd.ru/document/420247252" TargetMode="External"/><Relationship Id="rId73" Type="http://schemas.openxmlformats.org/officeDocument/2006/relationships/hyperlink" Target="http://docs.cntd.ru/document/420243558" TargetMode="External"/><Relationship Id="rId78" Type="http://schemas.openxmlformats.org/officeDocument/2006/relationships/hyperlink" Target="http://docs.cntd.ru/document/420247252" TargetMode="External"/><Relationship Id="rId81" Type="http://schemas.openxmlformats.org/officeDocument/2006/relationships/hyperlink" Target="http://docs.cntd.ru/document/4202435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704754" TargetMode="External"/><Relationship Id="rId14" Type="http://schemas.openxmlformats.org/officeDocument/2006/relationships/hyperlink" Target="http://docs.cntd.ru/document/420243558" TargetMode="External"/><Relationship Id="rId22" Type="http://schemas.openxmlformats.org/officeDocument/2006/relationships/hyperlink" Target="http://docs.cntd.ru/document/420243558" TargetMode="External"/><Relationship Id="rId27" Type="http://schemas.openxmlformats.org/officeDocument/2006/relationships/hyperlink" Target="http://docs.cntd.ru/document/420247252" TargetMode="External"/><Relationship Id="rId30" Type="http://schemas.openxmlformats.org/officeDocument/2006/relationships/hyperlink" Target="http://docs.cntd.ru/document/420243558" TargetMode="External"/><Relationship Id="rId35" Type="http://schemas.openxmlformats.org/officeDocument/2006/relationships/hyperlink" Target="http://docs.cntd.ru/document/551995286" TargetMode="External"/><Relationship Id="rId43" Type="http://schemas.openxmlformats.org/officeDocument/2006/relationships/hyperlink" Target="http://docs.cntd.ru/document/420247252" TargetMode="External"/><Relationship Id="rId48" Type="http://schemas.openxmlformats.org/officeDocument/2006/relationships/hyperlink" Target="http://docs.cntd.ru/document/420243558" TargetMode="External"/><Relationship Id="rId56" Type="http://schemas.openxmlformats.org/officeDocument/2006/relationships/hyperlink" Target="http://docs.cntd.ru/document/551995286" TargetMode="External"/><Relationship Id="rId64" Type="http://schemas.openxmlformats.org/officeDocument/2006/relationships/hyperlink" Target="http://docs.cntd.ru/document/420243558" TargetMode="External"/><Relationship Id="rId69" Type="http://schemas.openxmlformats.org/officeDocument/2006/relationships/hyperlink" Target="http://docs.cntd.ru/document/551995286" TargetMode="External"/><Relationship Id="rId77" Type="http://schemas.openxmlformats.org/officeDocument/2006/relationships/hyperlink" Target="http://docs.cntd.ru/document/420243558" TargetMode="External"/><Relationship Id="rId8" Type="http://schemas.openxmlformats.org/officeDocument/2006/relationships/hyperlink" Target="http://docs.cntd.ru/document/551995286" TargetMode="External"/><Relationship Id="rId51" Type="http://schemas.openxmlformats.org/officeDocument/2006/relationships/hyperlink" Target="http://docs.cntd.ru/document/420247252" TargetMode="External"/><Relationship Id="rId72" Type="http://schemas.openxmlformats.org/officeDocument/2006/relationships/hyperlink" Target="http://docs.cntd.ru/document/420247252" TargetMode="External"/><Relationship Id="rId80" Type="http://schemas.openxmlformats.org/officeDocument/2006/relationships/hyperlink" Target="http://docs.cntd.ru/document/90238961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1704754" TargetMode="External"/><Relationship Id="rId17" Type="http://schemas.openxmlformats.org/officeDocument/2006/relationships/hyperlink" Target="http://docs.cntd.ru/document/420247252" TargetMode="External"/><Relationship Id="rId25" Type="http://schemas.openxmlformats.org/officeDocument/2006/relationships/hyperlink" Target="http://docs.cntd.ru/document/902162426" TargetMode="External"/><Relationship Id="rId33" Type="http://schemas.openxmlformats.org/officeDocument/2006/relationships/hyperlink" Target="http://docs.cntd.ru/document/420247252" TargetMode="External"/><Relationship Id="rId38" Type="http://schemas.openxmlformats.org/officeDocument/2006/relationships/hyperlink" Target="http://docs.cntd.ru/document/420388021" TargetMode="External"/><Relationship Id="rId46" Type="http://schemas.openxmlformats.org/officeDocument/2006/relationships/hyperlink" Target="http://docs.cntd.ru/document/420243558" TargetMode="External"/><Relationship Id="rId59" Type="http://schemas.openxmlformats.org/officeDocument/2006/relationships/hyperlink" Target="http://docs.cntd.ru/document/420247252" TargetMode="External"/><Relationship Id="rId67" Type="http://schemas.openxmlformats.org/officeDocument/2006/relationships/hyperlink" Target="http://docs.cntd.ru/document/420247252" TargetMode="External"/><Relationship Id="rId20" Type="http://schemas.openxmlformats.org/officeDocument/2006/relationships/hyperlink" Target="http://docs.cntd.ru/document/420243558" TargetMode="External"/><Relationship Id="rId41" Type="http://schemas.openxmlformats.org/officeDocument/2006/relationships/hyperlink" Target="http://docs.cntd.ru/document/420247252" TargetMode="External"/><Relationship Id="rId54" Type="http://schemas.openxmlformats.org/officeDocument/2006/relationships/hyperlink" Target="http://docs.cntd.ru/document/542638829" TargetMode="External"/><Relationship Id="rId62" Type="http://schemas.openxmlformats.org/officeDocument/2006/relationships/hyperlink" Target="http://docs.cntd.ru/document/420243558" TargetMode="External"/><Relationship Id="rId70" Type="http://schemas.openxmlformats.org/officeDocument/2006/relationships/hyperlink" Target="http://docs.cntd.ru/document/542638829" TargetMode="External"/><Relationship Id="rId75" Type="http://schemas.openxmlformats.org/officeDocument/2006/relationships/hyperlink" Target="http://docs.cntd.ru/document/420243558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243558" TargetMode="External"/><Relationship Id="rId15" Type="http://schemas.openxmlformats.org/officeDocument/2006/relationships/hyperlink" Target="http://docs.cntd.ru/document/420247252" TargetMode="External"/><Relationship Id="rId23" Type="http://schemas.openxmlformats.org/officeDocument/2006/relationships/hyperlink" Target="http://docs.cntd.ru/document/420247252" TargetMode="External"/><Relationship Id="rId28" Type="http://schemas.openxmlformats.org/officeDocument/2006/relationships/hyperlink" Target="http://docs.cntd.ru/document/420243558" TargetMode="External"/><Relationship Id="rId36" Type="http://schemas.openxmlformats.org/officeDocument/2006/relationships/hyperlink" Target="http://docs.cntd.ru/document/542638829" TargetMode="External"/><Relationship Id="rId49" Type="http://schemas.openxmlformats.org/officeDocument/2006/relationships/hyperlink" Target="http://docs.cntd.ru/document/420247252" TargetMode="External"/><Relationship Id="rId57" Type="http://schemas.openxmlformats.org/officeDocument/2006/relationships/hyperlink" Target="http://docs.cntd.ru/document/5426388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4521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105A</dc:creator>
  <cp:lastModifiedBy>105A</cp:lastModifiedBy>
  <cp:revision>2</cp:revision>
  <cp:lastPrinted>2019-02-04T11:32:00Z</cp:lastPrinted>
  <dcterms:created xsi:type="dcterms:W3CDTF">2019-01-25T07:48:00Z</dcterms:created>
  <dcterms:modified xsi:type="dcterms:W3CDTF">2019-02-04T11:32:00Z</dcterms:modified>
</cp:coreProperties>
</file>